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OLDAKOWSKI JOSEPH FRANK</w:t>
              </w:r>
            </w:hyperlink>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CLOVER HEALTH INVESTMENTS,</w:t>
              </w:r>
            </w:hyperlink>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gridSpan w:val="4"/>
            <w:vMerge w:val="continue"/>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40" w:type="dxa"/>
            <w:vAlign w:val="bottom"/>
            <w:tcBorders>
              <w:bottom w:val="single" w:sz="8" w:color="0000EE"/>
            </w:tcBorders>
            <w:gridSpan w:val="4"/>
            <w:vMerge w:val="continue"/>
          </w:tcPr>
          <w:p>
            <w:pPr>
              <w:spacing w:after="0"/>
              <w:rPr>
                <w:sz w:val="5"/>
                <w:szCs w:val="5"/>
                <w:color w:val="auto"/>
              </w:rPr>
            </w:pPr>
          </w:p>
        </w:tc>
        <w:tc>
          <w:tcPr>
            <w:tcW w:w="600" w:type="dxa"/>
            <w:vAlign w:val="bottom"/>
            <w:vMerge w:val="restart"/>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5"/>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4"/>
          </w:tcPr>
          <w:p>
            <w:pPr>
              <w:spacing w:after="0"/>
              <w:rPr>
                <w:sz w:val="4"/>
                <w:szCs w:val="4"/>
                <w:color w:val="auto"/>
              </w:rPr>
            </w:pPr>
          </w:p>
        </w:tc>
        <w:tc>
          <w:tcPr>
            <w:tcW w:w="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gridSpan w:val="5"/>
            <w:vMerge w:val="continue"/>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gridSpan w:val="5"/>
            <w:vMerge w:val="continue"/>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2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VP OF FINANCE AND CONTROLLER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6"/>
            <w:vMerge w:val="continue"/>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CLOVER HEALTH INVESTMENTS, CORP.</w:t>
            </w:r>
          </w:p>
        </w:tc>
        <w:tc>
          <w:tcPr>
            <w:tcW w:w="11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1140" w:type="dxa"/>
            <w:vAlign w:val="bottom"/>
            <w:gridSpan w:val="6"/>
            <w:vMerge w:val="continue"/>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3"/>
          </w:tcPr>
          <w:p>
            <w:pPr>
              <w:spacing w:after="0"/>
              <w:rPr>
                <w:sz w:val="9"/>
                <w:szCs w:val="9"/>
                <w:color w:val="auto"/>
              </w:rPr>
            </w:pPr>
          </w:p>
        </w:tc>
        <w:tc>
          <w:tcPr>
            <w:tcW w:w="2340" w:type="dxa"/>
            <w:vAlign w:val="bottom"/>
            <w:tcBorders>
              <w:bottom w:val="single" w:sz="8" w:color="2C2C2C"/>
            </w:tcBorders>
            <w:gridSpan w:val="4"/>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840" w:type="dxa"/>
            <w:vAlign w:val="bottom"/>
          </w:tcPr>
          <w:p>
            <w:pPr>
              <w:spacing w:after="0"/>
              <w:rPr>
                <w:sz w:val="20"/>
                <w:szCs w:val="20"/>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19801</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5"/>
                <w:szCs w:val="15"/>
                <w:color w:val="auto"/>
              </w:rPr>
            </w:pPr>
          </w:p>
        </w:tc>
        <w:tc>
          <w:tcPr>
            <w:tcW w:w="108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6"/>
          </w:tcPr>
          <w:p>
            <w:pPr>
              <w:ind w:left="80"/>
              <w:spacing w:after="0"/>
              <w:rPr>
                <w:sz w:val="20"/>
                <w:szCs w:val="20"/>
                <w:color w:val="auto"/>
              </w:rPr>
            </w:pPr>
            <w:r>
              <w:rPr>
                <w:rFonts w:ascii="Arial" w:cs="Arial" w:eastAsia="Arial" w:hAnsi="Arial"/>
                <w:sz w:val="12"/>
                <w:szCs w:val="12"/>
                <w:b w:val="1"/>
                <w:bCs w:val="1"/>
                <w:color w:val="auto"/>
                <w:w w:val="97"/>
              </w:rPr>
              <w:t>4. Securities Acquired (A) or</w:t>
            </w:r>
          </w:p>
        </w:tc>
        <w:tc>
          <w:tcPr>
            <w:tcW w:w="2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6"/>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12,102</w:t>
            </w:r>
          </w:p>
        </w:tc>
        <w:tc>
          <w:tcPr>
            <w:tcW w:w="4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299,067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of Class A Common Stock required to be sold by the Reporting Person to cover tax withholding obligations in connection with the vesting of 25% of restricted stock units ("RSUs") originally granted to the Reporting Person on June 16, 2025. The remaining RSUs vest quarterly in equal installments of 6.25%, with the final vesting date occurring on June 16, 2029,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J. Rivas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6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Joseph Frank</w:t>
      </w:r>
      <w:r>
        <w:rPr>
          <w:sz w:val="20"/>
          <w:szCs w:val="20"/>
          <w:color w:val="auto"/>
        </w:rPr>
        <w:tab/>
      </w:r>
      <w:r>
        <w:rPr>
          <w:rFonts w:ascii="Times New Roman" w:cs="Times New Roman" w:eastAsia="Times New Roman" w:hAnsi="Times New Roman"/>
          <w:sz w:val="17"/>
          <w:szCs w:val="17"/>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Oldakowski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31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8814"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2026-06-17T07:14:38Z</dcterms:created>
  <dcterms:modified xsi:type="dcterms:W3CDTF">2026-06-17T07:14:38Z</dcterms:modified>
</cp:coreProperties>
</file>