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193"/>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001-39252</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4"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55"/>
        </w:trPr>
        <w:tc>
          <w:tcPr>
            <w:tcW w:w="5840" w:type="dxa"/>
            <w:vAlign w:val="bottom"/>
          </w:tcPr>
          <w:p>
            <w:pPr>
              <w:jc w:val="center"/>
              <w:ind w:right="3705"/>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74"/>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8"/>
                <w:szCs w:val="18"/>
                <w:b w:val="1"/>
                <w:bCs w:val="1"/>
                <w:color w:val="auto"/>
                <w:w w:val="97"/>
              </w:rPr>
              <w:t>Not Applicable</w:t>
            </w:r>
            <w:r>
              <w:rPr>
                <w:rFonts w:ascii="Times New Roman" w:cs="Times New Roman" w:eastAsia="Times New Roman" w:hAnsi="Times New Roman"/>
                <w:sz w:val="23"/>
                <w:szCs w:val="23"/>
                <w:b w:val="1"/>
                <w:bCs w:val="1"/>
                <w:color w:val="auto"/>
                <w:w w:val="97"/>
                <w:vertAlign w:val="superscript"/>
              </w:rPr>
              <w:t>(1)</w:t>
            </w:r>
          </w:p>
        </w:tc>
      </w:tr>
      <w:tr>
        <w:trPr>
          <w:trHeight w:val="166"/>
        </w:trPr>
        <w:tc>
          <w:tcPr>
            <w:tcW w:w="5840" w:type="dxa"/>
            <w:vAlign w:val="bottom"/>
          </w:tcPr>
          <w:p>
            <w:pPr>
              <w:jc w:val="center"/>
              <w:ind w:right="368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46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503"/>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60" w:type="dxa"/>
            <w:vAlign w:val="bottom"/>
          </w:tcPr>
          <w:p>
            <w:pPr>
              <w:spacing w:after="0"/>
              <w:rPr>
                <w:sz w:val="24"/>
                <w:szCs w:val="24"/>
                <w:color w:val="auto"/>
              </w:rPr>
            </w:pPr>
          </w:p>
        </w:tc>
      </w:tr>
      <w:tr>
        <w:trPr>
          <w:trHeight w:val="255"/>
        </w:trPr>
        <w:tc>
          <w:tcPr>
            <w:tcW w:w="5840" w:type="dxa"/>
            <w:vAlign w:val="bottom"/>
          </w:tcPr>
          <w:p>
            <w:pPr>
              <w:jc w:val="center"/>
              <w:ind w:left="1765"/>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60" w:type="dxa"/>
            <w:vAlign w:val="bottom"/>
          </w:tcPr>
          <w:p>
            <w:pPr>
              <w:spacing w:after="0"/>
              <w:rPr>
                <w:sz w:val="22"/>
                <w:szCs w:val="22"/>
                <w:color w:val="auto"/>
              </w:rPr>
            </w:pPr>
          </w:p>
        </w:tc>
      </w:tr>
      <w:tr>
        <w:trPr>
          <w:trHeight w:val="237"/>
        </w:trPr>
        <w:tc>
          <w:tcPr>
            <w:tcW w:w="5840" w:type="dxa"/>
            <w:vAlign w:val="bottom"/>
          </w:tcPr>
          <w:p>
            <w:pPr>
              <w:jc w:val="center"/>
              <w:ind w:left="1765"/>
              <w:spacing w:after="0"/>
              <w:rPr>
                <w:sz w:val="20"/>
                <w:szCs w:val="20"/>
                <w:color w:val="auto"/>
              </w:rPr>
            </w:pPr>
            <w:r>
              <w:rPr>
                <w:rFonts w:ascii="Arial" w:cs="Arial" w:eastAsia="Arial" w:hAnsi="Arial"/>
                <w:sz w:val="11"/>
                <w:szCs w:val="11"/>
                <w:color w:val="auto"/>
                <w:w w:val="98"/>
              </w:rPr>
              <w:t>________________________________________</w:t>
            </w:r>
          </w:p>
        </w:tc>
        <w:tc>
          <w:tcPr>
            <w:tcW w:w="1460" w:type="dxa"/>
            <w:vAlign w:val="bottom"/>
          </w:tcPr>
          <w:p>
            <w:pPr>
              <w:spacing w:after="0"/>
              <w:rPr>
                <w:sz w:val="20"/>
                <w:szCs w:val="20"/>
                <w:color w:val="auto"/>
              </w:rPr>
            </w:pPr>
          </w:p>
        </w:tc>
      </w:tr>
    </w:tbl>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5"/>
                <w:szCs w:val="15"/>
                <w:color w:val="auto"/>
              </w:rPr>
            </w:pPr>
          </w:p>
        </w:tc>
      </w:tr>
      <w:tr>
        <w:trPr>
          <w:trHeight w:val="204"/>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06"/>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vMerge w:val="restart"/>
          </w:tcPr>
          <w:p>
            <w:pPr>
              <w:ind w:left="320"/>
              <w:spacing w:after="0"/>
              <w:rPr>
                <w:sz w:val="20"/>
                <w:szCs w:val="20"/>
                <w:color w:val="auto"/>
              </w:rPr>
            </w:pPr>
            <w:r>
              <w:rPr>
                <w:rFonts w:ascii="Wingdings" w:cs="Wingdings" w:eastAsia="Wingdings" w:hAnsi="Wingdings"/>
                <w:sz w:val="16"/>
                <w:szCs w:val="16"/>
                <w:b w:val="1"/>
                <w:bCs w:val="1"/>
                <w:color w:val="auto"/>
              </w:rPr>
              <w:t>x</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5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6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left="660"/>
        <w:spacing w:after="0"/>
        <w:tabs>
          <w:tab w:leader="none" w:pos="8200" w:val="left"/>
          <w:tab w:leader="none" w:pos="8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13" w:lineRule="exact"/>
        <w:rPr>
          <w:sz w:val="24"/>
          <w:szCs w:val="24"/>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At October 30, 2026, the registrant had 439,707,261 shares of Class A Common Stock, $0.0001 par value per share, and 95,713,497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226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60" w:firstLine="8"/>
        <w:spacing w:after="0" w:line="239" w:lineRule="auto"/>
        <w:tabs>
          <w:tab w:leader="none" w:pos="169"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ectPr>
          <w:pgSz w:w="11900" w:h="16838" w:orient="portrait"/>
          <w:cols w:equalWidth="0" w:num="1">
            <w:col w:w="11240"/>
          </w:cols>
          <w:pgMar w:left="320" w:top="1172" w:right="339" w:bottom="551" w:gutter="0" w:footer="0" w:header="0"/>
        </w:sect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5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40" w:type="dxa"/>
            <w:vAlign w:val="bottom"/>
            <w:gridSpan w:val="3"/>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gridSpan w:val="3"/>
            <w:vMerge w:val="restart"/>
          </w:tcPr>
          <w:p>
            <w:pPr>
              <w:spacing w:after="0"/>
              <w:rPr>
                <w:sz w:val="2"/>
                <w:szCs w:val="2"/>
                <w:color w:val="auto"/>
              </w:rPr>
            </w:pPr>
          </w:p>
        </w:tc>
        <w:tc>
          <w:tcPr>
            <w:tcW w:w="2420" w:type="dxa"/>
            <w:vAlign w:val="bottom"/>
            <w:gridSpan w:val="11"/>
            <w:vMerge w:val="restart"/>
          </w:tcPr>
          <w:p>
            <w:pPr>
              <w:spacing w:after="0" w:line="193" w:lineRule="exact"/>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6680" w:type="dxa"/>
            <w:vAlign w:val="bottom"/>
            <w:gridSpan w:val="8"/>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2420" w:type="dxa"/>
            <w:vAlign w:val="bottom"/>
            <w:gridSpan w:val="11"/>
            <w:vMerge w:val="continue"/>
          </w:tcPr>
          <w:p>
            <w:pPr>
              <w:spacing w:after="0"/>
              <w:rPr>
                <w:sz w:val="14"/>
                <w:szCs w:val="14"/>
                <w:color w:val="auto"/>
              </w:rPr>
            </w:pPr>
          </w:p>
        </w:tc>
        <w:tc>
          <w:tcPr>
            <w:tcW w:w="6680" w:type="dxa"/>
            <w:vAlign w:val="bottom"/>
            <w:gridSpan w:val="8"/>
            <w:vMerge w:val="continue"/>
          </w:tcPr>
          <w:p>
            <w:pPr>
              <w:spacing w:after="0"/>
              <w:rPr>
                <w:sz w:val="14"/>
                <w:szCs w:val="14"/>
                <w:color w:val="auto"/>
              </w:rPr>
            </w:pPr>
          </w:p>
        </w:tc>
        <w:tc>
          <w:tcPr>
            <w:tcW w:w="620" w:type="dxa"/>
            <w:vAlign w:val="bottom"/>
            <w:gridSpan w:val="4"/>
          </w:tcPr>
          <w:p>
            <w:pPr>
              <w:jc w:val="center"/>
              <w:ind w:left="371"/>
              <w:spacing w:after="0" w:line="156" w:lineRule="exact"/>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2026 and December 31, 2025</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nine months ended</w:t>
            </w: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160" w:type="dxa"/>
            <w:vAlign w:val="bottom"/>
            <w:tcBorders>
              <w:top w:val="single" w:sz="8" w:color="0000FF"/>
            </w:tcBorders>
            <w:gridSpan w:val="8"/>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September 30, 2026 and 2025</w:t>
            </w:r>
          </w:p>
        </w:tc>
        <w:tc>
          <w:tcPr>
            <w:tcW w:w="6920" w:type="dxa"/>
            <w:vAlign w:val="bottom"/>
            <w:tcBorders>
              <w:top w:val="single" w:sz="8" w:color="0000FF"/>
            </w:tcBorders>
            <w:gridSpan w:val="10"/>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60" w:type="dxa"/>
            <w:vAlign w:val="bottom"/>
            <w:tcBorders>
              <w:top w:val="single" w:sz="8" w:color="0000FF"/>
              <w:bottom w:val="single" w:sz="8" w:color="0000FF"/>
            </w:tcBorders>
            <w:gridSpan w:val="8"/>
            <w:vMerge w:val="continue"/>
          </w:tcPr>
          <w:p>
            <w:pPr>
              <w:spacing w:after="0"/>
              <w:rPr>
                <w:sz w:val="5"/>
                <w:szCs w:val="5"/>
                <w:color w:val="auto"/>
              </w:rPr>
            </w:pPr>
          </w:p>
        </w:tc>
        <w:tc>
          <w:tcPr>
            <w:tcW w:w="6920" w:type="dxa"/>
            <w:vAlign w:val="bottom"/>
            <w:tcBorders>
              <w:top w:val="single" w:sz="8" w:color="0000FF"/>
            </w:tcBorders>
            <w:gridSpan w:val="10"/>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20" w:type="dxa"/>
            <w:vAlign w:val="bottom"/>
          </w:tcPr>
          <w:p>
            <w:pPr>
              <w:spacing w:after="0"/>
              <w:rPr>
                <w:sz w:val="19"/>
                <w:szCs w:val="19"/>
                <w:color w:val="auto"/>
              </w:rPr>
            </w:pPr>
          </w:p>
        </w:tc>
        <w:tc>
          <w:tcPr>
            <w:tcW w:w="620" w:type="dxa"/>
            <w:vAlign w:val="bottom"/>
            <w:gridSpan w:val="4"/>
            <w:vMerge w:val="restart"/>
          </w:tcPr>
          <w:p>
            <w:pPr>
              <w:jc w:val="center"/>
              <w:ind w:left="371"/>
              <w:spacing w:after="0"/>
              <w:rPr>
                <w:sz w:val="20"/>
                <w:szCs w:val="20"/>
                <w:color w:val="auto"/>
              </w:rPr>
            </w:pPr>
            <w:r>
              <w:rPr>
                <w:rFonts w:ascii="Times New Roman" w:cs="Times New Roman" w:eastAsia="Times New Roman" w:hAnsi="Times New Roman"/>
                <w:sz w:val="18"/>
                <w:szCs w:val="18"/>
                <w:color w:val="0000FF"/>
                <w:w w:val="88"/>
              </w:rPr>
              <w:t>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gridSpan w:val="3"/>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2026 and 2025</w:t>
            </w:r>
          </w:p>
        </w:tc>
        <w:tc>
          <w:tcPr>
            <w:tcW w:w="8020" w:type="dxa"/>
            <w:vAlign w:val="bottom"/>
            <w:gridSpan w:val="16"/>
            <w:vMerge w:val="restart"/>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Borders>
              <w:bottom w:val="single" w:sz="8" w:color="0000FF"/>
            </w:tcBorders>
            <w:gridSpan w:val="3"/>
            <w:vMerge w:val="continue"/>
          </w:tcPr>
          <w:p>
            <w:pPr>
              <w:spacing w:after="0"/>
              <w:rPr>
                <w:sz w:val="5"/>
                <w:szCs w:val="5"/>
                <w:color w:val="auto"/>
              </w:rPr>
            </w:pPr>
          </w:p>
        </w:tc>
        <w:tc>
          <w:tcPr>
            <w:tcW w:w="8020" w:type="dxa"/>
            <w:vAlign w:val="bottom"/>
            <w:gridSpan w:val="16"/>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260" w:type="dxa"/>
            <w:vAlign w:val="bottom"/>
            <w:gridSpan w:val="2"/>
          </w:tcPr>
          <w:p>
            <w:pPr>
              <w:spacing w:after="0"/>
              <w:rPr>
                <w:sz w:val="19"/>
                <w:szCs w:val="19"/>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00" w:type="dxa"/>
            <w:vAlign w:val="bottom"/>
            <w:gridSpan w:val="4"/>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24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500" w:type="dxa"/>
            <w:vAlign w:val="bottom"/>
            <w:gridSpan w:val="4"/>
          </w:tcPr>
          <w:p>
            <w:pPr>
              <w:spacing w:after="0"/>
              <w:rPr>
                <w:sz w:val="21"/>
                <w:szCs w:val="21"/>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5"/>
          </w:tcPr>
          <w:p>
            <w:pPr>
              <w:spacing w:after="0"/>
              <w:rPr>
                <w:sz w:val="21"/>
                <w:szCs w:val="21"/>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20" w:type="dxa"/>
            <w:vAlign w:val="bottom"/>
            <w:gridSpan w:val="13"/>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Borders>
              <w:top w:val="single" w:sz="8" w:color="0000FF"/>
            </w:tcBorders>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708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1"/>
                <w:szCs w:val="21"/>
                <w:color w:val="auto"/>
              </w:rPr>
            </w:pPr>
          </w:p>
        </w:tc>
        <w:tc>
          <w:tcPr>
            <w:tcW w:w="400" w:type="dxa"/>
            <w:vAlign w:val="bottom"/>
            <w:gridSpan w:val="3"/>
          </w:tcPr>
          <w:p>
            <w:pPr>
              <w:spacing w:after="0"/>
              <w:rPr>
                <w:sz w:val="21"/>
                <w:szCs w:val="21"/>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40" w:type="dxa"/>
            <w:vAlign w:val="bottom"/>
            <w:gridSpan w:val="6"/>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500" w:type="dxa"/>
            <w:vAlign w:val="bottom"/>
            <w:gridSpan w:val="4"/>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20" w:type="dxa"/>
            <w:vAlign w:val="bottom"/>
            <w:tcBorders>
              <w:bottom w:val="single" w:sz="8" w:color="0000FF"/>
            </w:tcBorders>
            <w:gridSpan w:val="3"/>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1"/>
                <w:szCs w:val="21"/>
                <w:color w:val="auto"/>
              </w:rPr>
            </w:pPr>
          </w:p>
        </w:tc>
        <w:tc>
          <w:tcPr>
            <w:tcW w:w="6780" w:type="dxa"/>
            <w:vAlign w:val="bottom"/>
            <w:gridSpan w:val="10"/>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4"/>
          </w:tcPr>
          <w:p>
            <w:pPr>
              <w:spacing w:after="0"/>
              <w:rPr>
                <w:sz w:val="21"/>
                <w:szCs w:val="21"/>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8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4"/>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color w:val="0000FF"/>
                <w:w w:val="88"/>
              </w:rPr>
              <w:t>38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15"/>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 w:name="page3"/>
    <w:bookmarkEnd w:id="2"/>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"opportunity," "plan," "potential," "seek," "aim,"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II, Item 1A, “Risk Factors”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Forward-looking statements contained in this Quarterly Report on Form 10-Q involve a number of judgments, risks and uncertainties, including, without limitation, risks related to:</w:t>
      </w:r>
    </w:p>
    <w:p>
      <w:pPr>
        <w:spacing w:after="0" w:line="14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results of operations, financial condition, and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management of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adoption and use of Clover Assistant ("CA"), including the expansion of Clover Assistant technology for external payors and providers under the brand name Counterpart Assistant;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member base and provider network;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Clover Assistant, including our ability to utilize the platform to manage our medical expenses and medical loss ratios;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Star Ratings or otherwise continue to improve the financial performance of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sites, networks, and systems against security breaches, or otherwise to protect our confidential or health information or the confidential or health information of our members, providers, or other third parties;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fluctuating interest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uncertainty and instability.</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Quarterly Report on Form 10-Q or to conform these statements to actual results or revised expectations.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estimates, projections, and other information concerning our industry, our business and the markets for our products. We obtained the industry, market, and similar data set forth in this Quarterly Report on Form 10-Q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our reports filed with the SEC, including the discussion under "Risk Factors" in this Quarterly Report on Form 10-Q, our actual results or performance may be materially different from those expressed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844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2026: $58,934; 2025: $23,231)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2026: $1,565; 2025: $1,779)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63,875</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Healthcare receivables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94,866</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 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535,061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307,855</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2026: $170,241; 2025: $186,464)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187,092</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 (Fair value: 2026: $12,260; 2025: $12,495)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753,680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541,011</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844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claims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16,038</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345,899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208,823</w:t>
            </w:r>
          </w:p>
        </w:tc>
      </w:tr>
      <w:tr>
        <w:trPr>
          <w:trHeight w:val="250"/>
        </w:trPr>
        <w:tc>
          <w:tcPr>
            <w:tcW w:w="8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362,808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232,307</w:t>
            </w: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September 30, 2026 and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December 31, 2025; 437,698,453 and 426,669,369 issued and outstanding at September 30, 2026 and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September 30, 2026 and</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December 31, 2025; 95,713,497 and 92,373,157 issued and outstanding at September 30, 2026 and December 31,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2,716,621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2,682,663</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(2,288,352)</w:t>
            </w: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Treasury stock, at cost; 35,782,658 and 33,412,273 shares held at September 30, 2026 and December 31,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(86,187)</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390,872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308,704</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541,011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CONDENSED CONSOLIDATED STATEMENTS OF OPERATIONS AND COMPREHENSIVE INCOME (LOSS)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gridSpan w:val="4"/>
          </w:tcPr>
          <w:p>
            <w:pPr>
              <w:ind w:left="3920"/>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58"/>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4"/>
                <w:szCs w:val="24"/>
                <w:color w:val="auto"/>
              </w:rPr>
            </w:pPr>
          </w:p>
        </w:tc>
        <w:tc>
          <w:tcPr>
            <w:tcW w:w="21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1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3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$87 and $92 for the three months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September 30, 2026 and 2025 respectively, and $270 and $284 for the nine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61"/>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months ended September 30, 2026 and 2025, respectively)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748,784</w:t>
            </w:r>
          </w:p>
        </w:tc>
        <w:tc>
          <w:tcPr>
            <w:tcW w:w="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2,230,740</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1,405,860</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2,251,660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1,436,601</w:t>
            </w:r>
          </w:p>
        </w:tc>
      </w:tr>
      <w:tr>
        <w:trPr>
          <w:trHeight w:val="270"/>
        </w:trPr>
        <w:tc>
          <w:tcPr>
            <w:tcW w:w="6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1,154,907</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168,526</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148,112</w:t>
            </w:r>
          </w:p>
        </w:tc>
      </w:tr>
      <w:tr>
        <w:trPr>
          <w:trHeight w:val="229"/>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752,869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2,189,890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1,472,811</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(36,210)</w:t>
            </w:r>
          </w:p>
        </w:tc>
      </w:tr>
      <w:tr>
        <w:trPr>
          <w:trHeight w:val="270"/>
        </w:trPr>
        <w:tc>
          <w:tcPr>
            <w:tcW w:w="6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-2605405</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Basic weighted average number of class A and class B common shares and common share equivalents outstanding</w:t>
      </w:r>
    </w:p>
    <w:p>
      <w:pPr>
        <w:spacing w:after="0" w:line="10" w:lineRule="exact"/>
        <w:rPr>
          <w:sz w:val="20"/>
          <w:szCs w:val="20"/>
          <w:color w:val="auto"/>
        </w:rPr>
      </w:pPr>
    </w:p>
    <w:p>
      <w:pPr>
        <w:ind w:left="140" w:right="540"/>
        <w:spacing w:after="0" w:line="237" w:lineRule="auto"/>
        <w:rPr>
          <w:sz w:val="20"/>
          <w:szCs w:val="20"/>
          <w:color w:val="auto"/>
        </w:rPr>
      </w:pPr>
      <w:r>
        <w:rPr>
          <w:rFonts w:ascii="Times New Roman" w:cs="Times New Roman" w:eastAsia="Times New Roman" w:hAnsi="Times New Roman"/>
          <w:sz w:val="18"/>
          <w:szCs w:val="18"/>
          <w:color w:val="auto"/>
        </w:rPr>
        <w:t>Diluted weighted average number of class A and class B common shares and common share equivalents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 w:leader="none" w:pos="2500" w:val="left"/>
          <w:tab w:leader="none" w:pos="3760" w:val="left"/>
        </w:tabs>
        <w:rPr>
          <w:sz w:val="20"/>
          <w:szCs w:val="20"/>
          <w:color w:val="auto"/>
        </w:rPr>
      </w:pPr>
      <w:r>
        <w:rPr>
          <w:rFonts w:ascii="Times New Roman" w:cs="Times New Roman" w:eastAsia="Times New Roman" w:hAnsi="Times New Roman"/>
          <w:sz w:val="18"/>
          <w:szCs w:val="18"/>
          <w:color w:val="auto"/>
        </w:rPr>
        <w:t>531,602,371</w:t>
      </w:r>
      <w:r>
        <w:rPr>
          <w:sz w:val="20"/>
          <w:szCs w:val="20"/>
          <w:color w:val="auto"/>
        </w:rPr>
        <w:tab/>
      </w:r>
      <w:r>
        <w:rPr>
          <w:rFonts w:ascii="Times New Roman" w:cs="Times New Roman" w:eastAsia="Times New Roman" w:hAnsi="Times New Roman"/>
          <w:sz w:val="18"/>
          <w:szCs w:val="18"/>
          <w:color w:val="auto"/>
        </w:rPr>
        <w:t>512,743,521</w:t>
      </w:r>
      <w:r>
        <w:rPr>
          <w:sz w:val="20"/>
          <w:szCs w:val="20"/>
          <w:color w:val="auto"/>
        </w:rPr>
        <w:tab/>
      </w:r>
      <w:r>
        <w:rPr>
          <w:rFonts w:ascii="Times New Roman" w:cs="Times New Roman" w:eastAsia="Times New Roman" w:hAnsi="Times New Roman"/>
          <w:sz w:val="18"/>
          <w:szCs w:val="18"/>
          <w:color w:val="auto"/>
        </w:rPr>
        <w:t>527,642,546</w:t>
      </w:r>
      <w:r>
        <w:rPr>
          <w:sz w:val="20"/>
          <w:szCs w:val="20"/>
          <w:color w:val="auto"/>
        </w:rPr>
        <w:tab/>
      </w:r>
      <w:r>
        <w:rPr>
          <w:rFonts w:ascii="Times New Roman" w:cs="Times New Roman" w:eastAsia="Times New Roman" w:hAnsi="Times New Roman"/>
          <w:sz w:val="17"/>
          <w:szCs w:val="17"/>
          <w:color w:val="auto"/>
        </w:rPr>
        <w:t>510,191,111</w:t>
      </w:r>
    </w:p>
    <w:p>
      <w:pPr>
        <w:spacing w:after="0" w:line="212" w:lineRule="exact"/>
        <w:rPr>
          <w:sz w:val="20"/>
          <w:szCs w:val="20"/>
          <w:color w:val="auto"/>
        </w:rPr>
      </w:pPr>
    </w:p>
    <w:p>
      <w:pPr>
        <w:spacing w:after="0"/>
        <w:tabs>
          <w:tab w:leader="none" w:pos="1240" w:val="left"/>
          <w:tab w:leader="none" w:pos="2500" w:val="left"/>
          <w:tab w:leader="none" w:pos="3760" w:val="left"/>
        </w:tabs>
        <w:rPr>
          <w:sz w:val="20"/>
          <w:szCs w:val="20"/>
          <w:color w:val="auto"/>
        </w:rPr>
      </w:pPr>
      <w:r>
        <w:rPr>
          <w:rFonts w:ascii="Times New Roman" w:cs="Times New Roman" w:eastAsia="Times New Roman" w:hAnsi="Times New Roman"/>
          <w:sz w:val="18"/>
          <w:szCs w:val="18"/>
          <w:color w:val="auto"/>
        </w:rPr>
        <w:t>557,476,797</w:t>
      </w:r>
      <w:r>
        <w:rPr>
          <w:sz w:val="20"/>
          <w:szCs w:val="20"/>
          <w:color w:val="auto"/>
        </w:rPr>
        <w:tab/>
      </w:r>
      <w:r>
        <w:rPr>
          <w:rFonts w:ascii="Times New Roman" w:cs="Times New Roman" w:eastAsia="Times New Roman" w:hAnsi="Times New Roman"/>
          <w:sz w:val="18"/>
          <w:szCs w:val="18"/>
          <w:color w:val="auto"/>
        </w:rPr>
        <w:t>512,743,521</w:t>
      </w:r>
      <w:r>
        <w:rPr>
          <w:sz w:val="20"/>
          <w:szCs w:val="20"/>
          <w:color w:val="auto"/>
        </w:rPr>
        <w:tab/>
      </w:r>
      <w:r>
        <w:rPr>
          <w:rFonts w:ascii="Times New Roman" w:cs="Times New Roman" w:eastAsia="Times New Roman" w:hAnsi="Times New Roman"/>
          <w:sz w:val="18"/>
          <w:szCs w:val="18"/>
          <w:color w:val="auto"/>
        </w:rPr>
        <w:t>548,965,149</w:t>
      </w:r>
      <w:r>
        <w:rPr>
          <w:sz w:val="20"/>
          <w:szCs w:val="20"/>
          <w:color w:val="auto"/>
        </w:rPr>
        <w:tab/>
      </w:r>
      <w:r>
        <w:rPr>
          <w:rFonts w:ascii="Times New Roman" w:cs="Times New Roman" w:eastAsia="Times New Roman" w:hAnsi="Times New Roman"/>
          <w:sz w:val="17"/>
          <w:szCs w:val="17"/>
          <w:color w:val="auto"/>
        </w:rPr>
        <w:t>510,191,111</w:t>
      </w:r>
    </w:p>
    <w:p>
      <w:pPr>
        <w:spacing w:after="0" w:line="212" w:lineRule="exact"/>
        <w:rPr>
          <w:sz w:val="20"/>
          <w:szCs w:val="20"/>
          <w:color w:val="auto"/>
        </w:rPr>
      </w:pPr>
    </w:p>
    <w:p>
      <w:pPr>
        <w:sectPr>
          <w:pgSz w:w="11900" w:h="16838" w:orient="portrait"/>
          <w:cols w:equalWidth="0" w:num="2">
            <w:col w:w="6220" w:space="280"/>
            <w:col w:w="4740"/>
          </w:cols>
          <w:pgMar w:left="320" w:top="661" w:right="3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0"/>
        </w:trPr>
        <w:tc>
          <w:tcPr>
            <w:tcW w:w="63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(loss) gain on available-for-sale investments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6"/>
                <w:szCs w:val="16"/>
                <w:color w:val="auto"/>
              </w:rPr>
            </w:pPr>
          </w:p>
        </w:tc>
        <w:tc>
          <w:tcPr>
            <w:tcW w:w="8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6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00" w:type="dxa"/>
            <w:vAlign w:val="bottom"/>
            <w:gridSpan w:val="3"/>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continue"/>
          </w:tcPr>
          <w:p>
            <w:pPr>
              <w:spacing w:after="0"/>
              <w:rPr>
                <w:sz w:val="14"/>
                <w:szCs w:val="14"/>
                <w:color w:val="auto"/>
              </w:rPr>
            </w:pP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10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Balance,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426,669,369</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92,373,157</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33,412,273</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(86,187)</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2,682,663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(2,288,352)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308,704</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ind w:left="100"/>
              <w:spacing w:after="0" w:line="149"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4,427,824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3,342,699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loss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(1,565,397)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1,565,397</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27,334</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March 31,</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429,555,578</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95,715,856</w:t>
            </w: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34,977,670</w:t>
            </w:r>
          </w:p>
        </w:tc>
        <w:tc>
          <w:tcPr>
            <w:tcW w:w="80" w:type="dxa"/>
            <w:vAlign w:val="bottom"/>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(94,080)</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2,695,144</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(2,261,018)</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(672)</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339,426</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Stock issuance for</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938,635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9,293</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3,472,290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loss on investment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Conversion from Class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B common stock to</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(804,988)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804,988</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 under employee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270,199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28,001</w:t>
            </w:r>
          </w:p>
        </w:tc>
        <w:tc>
          <w:tcPr>
            <w:tcW w:w="0" w:type="dxa"/>
            <w:vAlign w:val="bottom"/>
          </w:tcPr>
          <w:p>
            <w:pPr>
              <w:spacing w:after="0"/>
              <w:rPr>
                <w:sz w:val="1"/>
                <w:szCs w:val="1"/>
                <w:color w:val="auto"/>
              </w:rPr>
            </w:pPr>
          </w:p>
        </w:tc>
      </w:tr>
      <w:tr>
        <w:trPr>
          <w:trHeight w:val="235"/>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2026</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433,432,644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95,714,926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35,782,658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(95,867)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2,706,640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(2,233,017)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376,257</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ind w:left="100"/>
              <w:spacing w:after="0" w:line="151"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1,033,850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3,230,530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loss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Conversion from Class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 common stock to</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September 30,</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437,698,453</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95,713,497</w:t>
            </w: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35,782,658</w:t>
            </w:r>
          </w:p>
        </w:tc>
        <w:tc>
          <w:tcPr>
            <w:tcW w:w="80" w:type="dxa"/>
            <w:vAlign w:val="bottom"/>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(95,867)</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2,716,621</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(2,226,582)</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(3,352)</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390,872</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500" w:top="661" w:right="51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661" w:right="51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6"/>
                <w:szCs w:val="16"/>
                <w:color w:val="auto"/>
              </w:rPr>
            </w:pPr>
          </w:p>
        </w:tc>
        <w:tc>
          <w:tcPr>
            <w:tcW w:w="8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6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80" w:type="dxa"/>
            <w:vAlign w:val="bottom"/>
            <w:gridSpan w:val="6"/>
            <w:vMerge w:val="continue"/>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00" w:type="dxa"/>
            <w:vAlign w:val="bottom"/>
            <w:gridSpan w:val="3"/>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continue"/>
          </w:tcPr>
          <w:p>
            <w:pPr>
              <w:spacing w:after="0"/>
              <w:rPr>
                <w:sz w:val="14"/>
                <w:szCs w:val="14"/>
                <w:color w:val="auto"/>
              </w:rPr>
            </w:pP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10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7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Balance,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414,493,051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89,032,305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18,752,947</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(30,991)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2,576,471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(2,202,803)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341,143</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ind w:left="100"/>
              <w:spacing w:after="0" w:line="149"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139,709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6,431,417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3,342,698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(1,833,218)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1,833,218</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Repurchases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(5,069,423)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5,069,423</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(18,298)</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March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414,161,536</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92,375,003</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25,655,588</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(62,947)</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2,603,123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(2,204,077)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336,075</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ind w:left="100"/>
              <w:spacing w:after="0" w:line="149"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97,249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6,417,884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(2,476,795)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2,476,795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Issuance of Common</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Stock under Employee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186,901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0" w:type="dxa"/>
            <w:vAlign w:val="bottom"/>
          </w:tcPr>
          <w:p>
            <w:pPr>
              <w:spacing w:after="0"/>
              <w:rPr>
                <w:sz w:val="1"/>
                <w:szCs w:val="1"/>
                <w:color w:val="auto"/>
              </w:rPr>
            </w:pPr>
          </w:p>
        </w:tc>
      </w:tr>
      <w:tr>
        <w:trPr>
          <w:trHeight w:val="235"/>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418,386,775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92,375,003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28,132,383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(71,415)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2,630,021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(2,214,655)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344,179</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ind w:left="100"/>
              <w:spacing w:after="0" w:line="151" w:lineRule="exact"/>
              <w:rPr>
                <w:sz w:val="20"/>
                <w:szCs w:val="20"/>
                <w:color w:val="auto"/>
              </w:rPr>
            </w:pPr>
            <w:r>
              <w:rPr>
                <w:rFonts w:ascii="Times New Roman" w:cs="Times New Roman" w:eastAsia="Times New Roman" w:hAnsi="Times New Roman"/>
                <w:sz w:val="16"/>
                <w:szCs w:val="16"/>
                <w:color w:val="auto"/>
              </w:rPr>
              <w:t>Stock issuance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exercise of stock</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options, net of early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163,180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liability</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Vested restricted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5,401,427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Unrealized holdings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gain on investment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securities, available for</w:t>
            </w: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w:t>
            </w:r>
          </w:p>
        </w:tc>
        <w:tc>
          <w:tcPr>
            <w:tcW w:w="100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Conversion from Class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B Common Stock to</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Shares withheld for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(2,132,156)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2,132,156</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 on equity awards</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(24,377)</w:t>
            </w: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September 30,</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421,821,072</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92,373,157</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30,264,539</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(76,990)</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2,656,432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(2,239,032)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340,932</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469" w:right="5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p>
      <w:pPr>
        <w:jc w:val="center"/>
        <w:ind w:left="88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(36,229)</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9"/>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78,738</w:t>
            </w:r>
          </w:p>
        </w:tc>
      </w:tr>
      <w:tr>
        <w:trPr>
          <w:trHeight w:val="229"/>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warrants and amortization of warrants</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net of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9"/>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accrued interest earned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gains on investment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Healthcare receivables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claims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29"/>
        </w:trPr>
        <w:tc>
          <w:tcPr>
            <w:tcW w:w="8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 available-for-sale, and held-to-maturity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(98,991)</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short-term investments and available-for-sale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113,707</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short-term investments and available-for-sale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w:t>
            </w:r>
          </w:p>
        </w:tc>
      </w:tr>
      <w:tr>
        <w:trPr>
          <w:trHeight w:val="230"/>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39,071</w:t>
            </w:r>
          </w:p>
        </w:tc>
      </w:tr>
      <w:tr>
        <w:trPr>
          <w:trHeight w:val="21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 net of stock issuance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related to 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(27,702)</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r>
      <w:tr>
        <w:trPr>
          <w:trHeight w:val="223"/>
        </w:trPr>
        <w:tc>
          <w:tcPr>
            <w:tcW w:w="8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(44,777)</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268,067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190,055</w:t>
            </w: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2024, the Company launched Counterpart Health, Inc., a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 included in the Company's Annual Report on Form 10-K for the year ended December 31, 2025 (the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2025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area involving the most significant use of estimates is the liability for incurred but not reported claims, which is based on actuarial methods and assumptions that are inherently uncertain. Actual claims experience may differ materially from these estimates, and any resulting adjustments are recognized in the period in which they are determined. Other areas involving significant estimates include risk adjustment provisions related to Medicare contracts (including the potential impact of Risk Adjustment Data Validation (“RADV”) audits) and the valuation of the Company’s investment securities, reinsurance, premium deficiency reserve, stock-based compensation, recoveries from third parties for coordination of benefits, and final determination of medical cost adjustment pools.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Acquisition costs directly related to the successful acquisition of new business, which are primarily made up of commission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 expenses in the Condensed Consolidated Statements of Operations and Comprehensive Income (Loss). For the three months ended September 30, 2026 and 2025, charges related to deferred acquisition costs of $6.2 million and $5.1 million, respectively, were recognized within General and administrative expenses. For the nine months ended September 30, 2026 and 2025, charges related to deferred acquisition costs of $16.4 million and $12.2 million, respectively, were recognized within General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adopted during the nine months ended September 30, 2026 that had a material impact on the Company's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The amendments in this update would require a public entity to disclose information about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Internal-Use Software. </w:t>
      </w:r>
      <w:r>
        <w:rPr>
          <w:rFonts w:ascii="Times New Roman" w:cs="Times New Roman" w:eastAsia="Times New Roman" w:hAnsi="Times New Roman"/>
          <w:sz w:val="18"/>
          <w:szCs w:val="18"/>
          <w:color w:val="auto"/>
        </w:rPr>
        <w:t>The amendments in this update modernize the accounting for costs related to internal-use software to better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current software development practices, such as agile methodologies. The update removes the previous stage-based model for capitalization. Instead, capitalization will begin when management authorizes and commits funding to a project, and it is probable the project will be completed for its intended function. The ASU is effective for annual periods beginning after December 15, 2027, with early adoption permitted. The Company is currently evaluating the impact of ASU 2025-06 on its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Clarification for Share-Based Noncash Consideration from a Customer in a Revenue Contract.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expand the scope exception in Topic 815 to exclude certain non-exchange-traded contracts with underlying based on the operations or activities of one of the parties to the contract. Additionally, the update clarifies that share-based noncash consideration received from a customer is subject to the guidance in Topic 606 until the right to consideration is unconditional. The ASU is effective for annual periods beginning after December 15, 2026, with early adoption permitted. The Company is currently evaluating the impact of ASU 2025-07 on its consolidated financial statements and related disclosures.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in this update clarify the applicability of Topic 270 to interim financial statements and notes presented in accordance with U.S. GAAP, provide a comprehensive list of interim disclosures required under Topic 270 and other Topics, and add a disclosure principle requiring entities to disclose events since the end of the last annual reporting period that have a material impact on the entity. The amendments are not intended to change the fundamental nature of interim reporting or to expand or reduce current interim disclosure requirements. The ASU is effective for interim reporting periods within annual reporting periods beginning after December 15, 2027, with early adoption permitted, and may be applied either prospectively or retrospectively. The Company is currently evaluating the impact of ASU 2025-11 on its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The amendments in this update provide technical corrections, clarifications, and other minor improvements to a variety of topics in the Codification, including amendments to Topic 260, Earnings Per Share, related to the calculation of diluted earnings per share when an entity reports a loss from continuing operations. The ASU is effective for annual periods beginning after December 15, 2026, including interim periods within those fiscal years, with early adoption permitted. The Company is currently evaluating the impact of ASU 2025-12 on its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April 2026, the FASB issued ASU 2026-01, </w:t>
      </w:r>
      <w:r>
        <w:rPr>
          <w:rFonts w:ascii="Times New Roman" w:cs="Times New Roman" w:eastAsia="Times New Roman" w:hAnsi="Times New Roman"/>
          <w:sz w:val="18"/>
          <w:szCs w:val="18"/>
          <w:i w:val="1"/>
          <w:iCs w:val="1"/>
          <w:color w:val="auto"/>
        </w:rPr>
        <w:t>Equity (Topic 505): Initial Measurement of Paid-in-Kind Dividends on Equity-Classified Preferred Stock</w:t>
      </w:r>
      <w:r>
        <w:rPr>
          <w:rFonts w:ascii="Times New Roman" w:cs="Times New Roman" w:eastAsia="Times New Roman" w:hAnsi="Times New Roman"/>
          <w:sz w:val="18"/>
          <w:szCs w:val="18"/>
          <w:color w:val="auto"/>
        </w:rPr>
        <w:t>. The amendments in this update require entities to initially measure paid-in-kind ("PIK") dividends on equity-classified preferred stock using the PIK dividend rate stated in the preferred stock agreement, rather than at fair value. The ASU is effective for annual periods beginning after December 15, 2026, including interim periods within those fiscal years, with early adoption permitted. The Company is currently evaluating the impact of ASU 2026-01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and fair values of investments at September 30, 2026 and December 31, 2025, respectively:</w:t>
      </w:r>
    </w:p>
    <w:p>
      <w:pPr>
        <w:sectPr>
          <w:pgSz w:w="11900" w:h="16838" w:orient="portrait"/>
          <w:cols w:equalWidth="0" w:num="1">
            <w:col w:w="11240"/>
          </w:cols>
          <w:pgMar w:left="320" w:top="101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09"/>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140,646</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84,965</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239,648</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0"/>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129,447</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224,497</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-2956560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-2631440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-2305050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-1979295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01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at September 30, 2026, by contractual maturity: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40" w:type="dxa"/>
            <w:vAlign w:val="bottom"/>
            <w:tcBorders>
              <w:bottom w:val="single" w:sz="8" w:color="CCEEFF"/>
            </w:tcBorders>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0" w:type="dxa"/>
            <w:vAlign w:val="bottom"/>
          </w:tcPr>
          <w:p>
            <w:pPr>
              <w:spacing w:after="0"/>
              <w:rPr>
                <w:sz w:val="1"/>
                <w:szCs w:val="1"/>
                <w:color w:val="auto"/>
              </w:rPr>
            </w:pP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167,253</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respectively, net investment income, which is included in Other income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was derived from the following sources: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440" w:type="dxa"/>
            <w:vAlign w:val="bottom"/>
          </w:tcPr>
          <w:p>
            <w:pPr>
              <w:spacing w:after="0"/>
              <w:rPr>
                <w:sz w:val="17"/>
                <w:szCs w:val="17"/>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6"/>
        </w:trPr>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3"/>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79"/>
        </w:trPr>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-693420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-367665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31" w:right="339" w:bottom="1440" w:gutter="0" w:footer="0" w:header="0"/>
          <w:type w:val="continuous"/>
        </w:sectPr>
      </w:pPr>
    </w:p>
    <w:p>
      <w:pPr>
        <w:spacing w:after="0" w:line="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that individual securities have been in a continuous unrealized loss position were as follows at September 30, 2026 and December 31, 2025,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jc w:val="center"/>
              <w:ind w:left="153"/>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144,632</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5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84,208</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57"/>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229,052</w:t>
            </w:r>
          </w:p>
        </w:tc>
        <w:tc>
          <w:tcPr>
            <w:tcW w:w="8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(3,544)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234,252</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49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3"/>
          </w:tcPr>
          <w:p>
            <w:pPr>
              <w:jc w:val="center"/>
              <w:ind w:left="153"/>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record any credit allowances for debt securities that were in an unrealized loss position at September 30, 2026 and December 31,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September 30, 2026, were assessed, based on, among other things:</w:t>
      </w:r>
    </w:p>
    <w:p>
      <w:pPr>
        <w:spacing w:after="0" w:line="1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relative magnitude to which fair values of these securities have been below their amortized cost was not indicative of an impairment loss;</w:t>
      </w:r>
    </w:p>
    <w:p>
      <w:pPr>
        <w:spacing w:after="0" w:line="2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compelling evidence that would cause the Company to call into question the financial condition or near-term prospects of the issuer of the applicable security;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inclusive of short-term investments, and related gross realized gains (losses) which are included in Other income in the Condensed Consolidated Statements of Operations and Comprehensive Income (Loss), were as follows for the three and nine months ended September 30, 2026 and 2025,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440" w:type="dxa"/>
            <w:vAlign w:val="bottom"/>
          </w:tcPr>
          <w:p>
            <w:pPr>
              <w:spacing w:after="0"/>
              <w:rPr>
                <w:sz w:val="17"/>
                <w:szCs w:val="17"/>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6"/>
        </w:trPr>
        <w:tc>
          <w:tcPr>
            <w:tcW w:w="59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113,707</w:t>
            </w:r>
          </w:p>
        </w:tc>
      </w:tr>
      <w:tr>
        <w:trPr>
          <w:trHeight w:val="25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r>
      <w:tr>
        <w:trPr>
          <w:trHeight w:val="270"/>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the Company had $15.0 million and $14.6 million, respectively, in deposits with various states and regulatory bodies that are included as part of the Company's investment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fair value measurements for financial instruments at September 30, 2026 and December 31, 2025,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140,646</w:t>
            </w:r>
          </w:p>
        </w:tc>
      </w:tr>
      <w:tr>
        <w:trPr>
          <w:trHeight w:val="25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84,965</w:t>
            </w:r>
          </w:p>
        </w:tc>
      </w:tr>
      <w:tr>
        <w:trPr>
          <w:trHeight w:val="257"/>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investments</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8"/>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8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129,447</w:t>
            </w:r>
          </w:p>
        </w:tc>
        <w:tc>
          <w:tcPr>
            <w:tcW w:w="0" w:type="dxa"/>
            <w:vAlign w:val="bottom"/>
          </w:tcPr>
          <w:p>
            <w:pPr>
              <w:spacing w:after="0"/>
              <w:rPr>
                <w:sz w:val="1"/>
                <w:szCs w:val="1"/>
                <w:color w:val="auto"/>
              </w:rPr>
            </w:pPr>
          </w:p>
        </w:tc>
      </w:tr>
      <w:tr>
        <w:trPr>
          <w:trHeight w:val="25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0" w:type="dxa"/>
            <w:vAlign w:val="bottom"/>
          </w:tcPr>
          <w:p>
            <w:pPr>
              <w:spacing w:after="0"/>
              <w:rPr>
                <w:sz w:val="1"/>
                <w:szCs w:val="1"/>
                <w:color w:val="auto"/>
              </w:rPr>
            </w:pPr>
          </w:p>
        </w:tc>
      </w:tr>
      <w:tr>
        <w:trPr>
          <w:trHeight w:val="25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investments</w:t>
            </w: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0" w:type="dxa"/>
            <w:vAlign w:val="bottom"/>
          </w:tcPr>
          <w:p>
            <w:pPr>
              <w:spacing w:after="0"/>
              <w:rPr>
                <w:sz w:val="1"/>
                <w:szCs w:val="1"/>
                <w:color w:val="auto"/>
              </w:rPr>
            </w:pPr>
          </w:p>
        </w:tc>
      </w:tr>
      <w:tr>
        <w:trPr>
          <w:trHeight w:val="25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Realized and unrealized gains and losses on Level 3 financial instruments are recognized in Other income in the Condensed Consolidated Statements of Operations and Comprehensive Income (Loss). The changes in balances of Level 3 financial assets and liabilities for the three and nine months ended September 30, 2026 and 2025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440" w:type="dxa"/>
            <w:vAlign w:val="bottom"/>
          </w:tcPr>
          <w:p>
            <w:pPr>
              <w:spacing w:after="0"/>
              <w:rPr>
                <w:sz w:val="17"/>
                <w:szCs w:val="17"/>
                <w:color w:val="auto"/>
              </w:rPr>
            </w:pPr>
          </w:p>
        </w:tc>
        <w:tc>
          <w:tcPr>
            <w:tcW w:w="2160" w:type="dxa"/>
            <w:vAlign w:val="bottom"/>
            <w:gridSpan w:val="4"/>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6"/>
        </w:trPr>
        <w:tc>
          <w:tcPr>
            <w:tcW w:w="59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Equity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4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Unrealized gains for assets still held at end of period, included in Net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80" w:type="dxa"/>
            <w:vAlign w:val="bottom"/>
            <w:vMerge w:val="continue"/>
          </w:tcPr>
          <w:p>
            <w:pPr>
              <w:spacing w:after="0"/>
              <w:rPr>
                <w:sz w:val="13"/>
                <w:szCs w:val="13"/>
                <w:color w:val="auto"/>
              </w:rPr>
            </w:pPr>
          </w:p>
        </w:tc>
        <w:tc>
          <w:tcPr>
            <w:tcW w:w="280" w:type="dxa"/>
            <w:vAlign w:val="bottom"/>
          </w:tcPr>
          <w:p>
            <w:pPr>
              <w:jc w:val="right"/>
              <w:ind w:right="91"/>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3,670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72"/>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13,424</w:t>
            </w:r>
          </w:p>
        </w:tc>
        <w:tc>
          <w:tcPr>
            <w:tcW w:w="80" w:type="dxa"/>
            <w:vAlign w:val="bottom"/>
          </w:tcPr>
          <w:p>
            <w:pPr>
              <w:spacing w:after="0"/>
              <w:rPr>
                <w:sz w:val="13"/>
                <w:szCs w:val="13"/>
                <w:color w:val="auto"/>
              </w:rPr>
            </w:pPr>
          </w:p>
        </w:tc>
        <w:tc>
          <w:tcPr>
            <w:tcW w:w="440" w:type="dxa"/>
            <w:vAlign w:val="bottom"/>
          </w:tcPr>
          <w:p>
            <w:pPr>
              <w:jc w:val="right"/>
              <w:ind w:right="232"/>
              <w:spacing w:after="0" w:line="150"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3,670</w:t>
            </w:r>
          </w:p>
        </w:tc>
        <w:tc>
          <w:tcPr>
            <w:tcW w:w="80" w:type="dxa"/>
            <w:vAlign w:val="bottom"/>
          </w:tcPr>
          <w:p>
            <w:pPr>
              <w:spacing w:after="0"/>
              <w:rPr>
                <w:sz w:val="13"/>
                <w:szCs w:val="13"/>
                <w:color w:val="auto"/>
              </w:rPr>
            </w:pPr>
          </w:p>
        </w:tc>
        <w:tc>
          <w:tcPr>
            <w:tcW w:w="280" w:type="dxa"/>
            <w:vAlign w:val="bottom"/>
          </w:tcPr>
          <w:p>
            <w:pPr>
              <w:jc w:val="right"/>
              <w:ind w:right="72"/>
              <w:spacing w:after="0" w:line="15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13,424</w:t>
            </w: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Warrants receivable:</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Unrealized losses for assets still held at end of period, included in Net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80" w:type="dxa"/>
            <w:vAlign w:val="bottom"/>
            <w:vMerge w:val="continue"/>
          </w:tcPr>
          <w:p>
            <w:pPr>
              <w:spacing w:after="0"/>
              <w:rPr>
                <w:sz w:val="13"/>
                <w:szCs w:val="13"/>
                <w:color w:val="auto"/>
              </w:rPr>
            </w:pPr>
          </w:p>
        </w:tc>
        <w:tc>
          <w:tcPr>
            <w:tcW w:w="280" w:type="dxa"/>
            <w:vAlign w:val="bottom"/>
          </w:tcPr>
          <w:p>
            <w:pPr>
              <w:jc w:val="right"/>
              <w:ind w:right="91"/>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72"/>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3"/>
                <w:szCs w:val="13"/>
                <w:color w:val="auto"/>
              </w:rPr>
            </w:pPr>
          </w:p>
        </w:tc>
        <w:tc>
          <w:tcPr>
            <w:tcW w:w="440" w:type="dxa"/>
            <w:vAlign w:val="bottom"/>
          </w:tcPr>
          <w:p>
            <w:pPr>
              <w:jc w:val="right"/>
              <w:ind w:right="232"/>
              <w:spacing w:after="0" w:line="150"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3"/>
                <w:szCs w:val="13"/>
                <w:color w:val="auto"/>
              </w:rPr>
            </w:pPr>
          </w:p>
        </w:tc>
        <w:tc>
          <w:tcPr>
            <w:tcW w:w="280" w:type="dxa"/>
            <w:vAlign w:val="bottom"/>
          </w:tcPr>
          <w:p>
            <w:pPr>
              <w:jc w:val="right"/>
              <w:ind w:right="72"/>
              <w:spacing w:after="0" w:line="15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9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Level 3 assets, end of period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8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equity securities in privately held companies. Their fair value is classified as Level 3 because the valuation relies primarily on unobservable inputs that require significant management judgment. While the valuation process utilizes inputs based on observable market transactions such as comparable company multiples or similar private placements, these must be significantly adjusted using unobservable assumptions to reflect the specific risks and characteristics of the non-marketable private investment. This reliance on subjective, unobservable inputs is the basis for the Level 3 classification and results in a higher degree of valuation uncertainty.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Receivable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had exercisable private warrants which were embedded in several agreements as derivatives. These private warrants were accounted for as assets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were measured at fair value on a recurring basis, and were classified within Level 3 due to the subjectivity and use of estimates in the calculation of their fair value. During the three months ended September 30, 2025, one of the Company's warrant receivable arrangements was fully liquidated for total consideration of $1.6 million, resulting in a realized gain of $0.8 million recognized within Other income in the Condensed Consolidated Statements of Operations and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Healthcare Receivables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$95.1 million and $94.9 million within Healthcare receivables at September 30, 2026 and December 31, 2025,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agreements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Vivek Garipalli, the Company's Executive Chairman and significant stockholder of the Company, is an indirect owner of Credo Health Solutions, Inc. Expenses and fees incurred related to this agreement were $0.4 million and $0.1 million for the three months ended September 30, 2026 and 2025, respectively, and $2.2 million and $0.4 million for the nine months ended September 30, 2026 and 2025, respectively. The Company recognizes the expenses and fees incurred within General and administrative expenses in its Condensed Consolidated Statements of Operations and Comprehensive Income (Loss). Additionally, zero was payable to Credo at each of September 30, 2026, and December 31, 2025.</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$7.6 million and $3.9 million at September 30, 2026, and December 31, 2025, respectively, and is recognized within Other assets, non-current, in the Condensed Consolidated Balance Sheets.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any changes in fair value associated with these shares are recognized within Other income in the Condensed Consolidated Statements of Operations and Comprehensive Income (Loss). Mr. Garipalli is a member of the board of directors of Thyme Care and holds an equity interest of less than five percent (5%) of that entity. Expenses and fees incurred related to this agreement were $2.7 million and $1.9 million for the three months ended September 30, 2026 and 2025, respectively, and $8.5 million and $6.1 million for the nine months ended September 30, 2026 and 2025, respectively. The Company recognizes the expenses and fees incurred within Net medical claims incurred in its Condensed Consolidated Statements of Operations and Comprehensive Income (Loss). Additionally, $12.3 million and $6.6 million were payable to Thyme Care at September 30, 2026, and December 31, 2025, respectively which are included within Unpaid claims in the Condensed Consolidated Balance Sheets.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Master Services Agreement in July 2025 with Guidehealth, LLC ("Guidehealth") for value-based care enablement and outsourced administrative services. These services primarily leverage technology and support teams to accelerate and enhance medication adherence rates and patient outcomes. Thomas Tran, a member of the Company's Board of Directors and Chair of the Company's Audit Committee, also serves as a director of Guidehealth and holds an ownership interest of less than 5% in Guidehealth. All related costs are recognized within General and administrative expenses in the Company's Condensed Consolidated Statements of Operations and Comprehensive Income (Loss). The Company terminated its agreement with Guidehealth effective March 31, 2026. As part of the final settlement, the Company recognized $0.1 million contra expense for the three and nine months ended September 30, 2026 and recognized expense of $0.3 million for the three and nine months ended September 30, 2025. Additionally, zero was payable at each of September 30, 2026, and December 31, 2025.</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holds a non-controlling equity investment in Character Biosciences ("CB"), which is accounted for under ASC 321,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at fair value. In accordance with ASC 321, the Company recognizes the fair value of its equity investment in CB within Other assets, non-current on its Condensed Consolidated Balance Sheets and recognizes any change in fair value within Other income in its Condensed Consolidated Statements of Operations and Comprehensive Income (Loss). At September 30, 2026 and December 31, 2025, the fair value of this investment was $8.3 million. CB is considered a related party because the Company's Executive Chairman and a significant stockholder of the Company, Vivek Garipalli, serves as a member of CB’s Board of Directors. There were no transactions between the Company and CB during the periods presented.</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Master Services Agreement in May 2026 with GoldenScript, Inc. ("GoldenScript"), a value-based care management organization, for administrative and clinical management services designed to lower the cost of prescription drugs for members while maintaining or improving quality. GoldenScript is approximately 25% owned by Wormhole Capital, an investment entity affiliated with Vivek Garipalli, the Company's Executive Chairman and a significant stockholder of the Company. As a result, Mr. Garipalli holds an indirect ownership interest in GoldenScript. Expenses and fees incurred related to this agreement were $0.8 million and $1.3 million for the three and nine months ended September 30, 2026, respectively. The Company recognizes the expenses and fees incurred within General and administrative expenses in its Condensed Consolidated Statements of Operations and Comprehensive Income (Loss). Additionally, $0.4 million was payable to GoldenScript at September 30, 2026 which is included within Accounts payable and accrued expenses in the Condensed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agreement in July 2025 with PopAi Health, Inc. ("PopAi") for a voice AI platform that documents and evaluates patient interactions in support of the Company's care delivery and care coordination programs. Demetrios Kouzoukas, a member of the Company's Board of Directors, is a Partner and Principal of Team8, a venture capital firm that owns approximately 40% of PopAi. Mr. Kouzoukas holds an ownership interest of less than 10% in PopAi. The Company terminated its agreement with PopAi effective December 31, 2026. Expenses and fees incurred related to this agreement were $0.1 million and $0.2 million for the three and nine months ended September 30, 2026, respectively. The Company recognizes the expenses and fees incurred within General and administrative expenses in its Condensed Consolidated Statements of Operations and Comprehensive Income (Loss). Additionally, less than $0.1 million was payable to PopAi at September 30, 2026 which is included within Accounts payable and accrued expenses in the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Unpaid Claims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within the liability for Unpaid claims, including claims adjustment expenses, for the nine months ended September 30, 2026 and 2025, respectively,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and net balance,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1,120,914</w:t>
            </w:r>
          </w:p>
        </w:tc>
      </w:tr>
      <w:tr>
        <w:trPr>
          <w:trHeight w:val="229"/>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1,763,721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1,130,518</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991,501</w:t>
            </w:r>
          </w:p>
        </w:tc>
      </w:tr>
      <w:tr>
        <w:trPr>
          <w:trHeight w:val="230"/>
        </w:trPr>
        <w:tc>
          <w:tcPr>
            <w:tcW w:w="8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154,956</w:t>
            </w: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1,647,870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1,146,457</w:t>
            </w: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and net balance,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269,101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140,457</w:t>
            </w:r>
          </w:p>
        </w:tc>
      </w:tr>
      <w:tr>
        <w:trPr>
          <w:trHeight w:val="20"/>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-342265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-933450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Unpaid Claims for Insurance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Unpaid claims for Insurance operations were $269.1 million at September 30, 2026. During the nine months ended September 30, 2026, $125.7 million was paid for incurred claims attributable to insured events of prior years. A favorable development of $16.9 million was recognized during the nine months ended September 30, 2026, resulting from the Company's actual experience with claims developing differently as compared to the Company's estimates at December 31, 2025. An unfavorable development of $9.6 million was recognized during the nine months ended September 30, 2025, resulting from the Company's actual experience with claims developing differently as compared to the Company's estimates at December 31, 2024. Original estimates are increased or decreased, as additional information becomes known regarding individual claims. The ratio of current year medical claims paid as a percentage of current year net medical claims incurred was 85.5% for the nine months ended September 30, 2026, and 88.5% for the nine months ended September 30, 2025. This ratio serves as an indicator of claims processing speed, indicating that claims were processed at a slower rate during the nine months ended September 30, 2026, than during the nine months ended September 30, 2025.</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Variable Interest Entity and Equity Method of Accounting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4, 2022, CB, a former affiliate of the Company, completed a private capital transaction in which it raised $17.9 million from the issuance of 16,210,602 shares of its preferred stock. Upon completion of the transaction, the Company owned approximately 25.5% of CB. As a result, the Company reassessed its interest in CB and determined that while CB was a Variable Interest Entity ("VIE"), the Company was not considered the primary beneficiary of the VIE because it did not have the power, through voting or similar rights and the license agreements, to direct the activities of CB that most significantly impacted CB's economic performance. Since that initial financing, CB has completed a series of additional capital raises through the issuance of its shares, each of which has diluted the Company’s ownership.</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it was concluded that the Company's ability to exert significant influence over CB no longer existed. This change in conclusion was influenced by the multiple rounds of funding dropping the Company's ownership below the 20% threshold and the lack of evidence to support continued significant influence. As a result, the Company transitioned its recognition of its equity investment in CB from the equity method of accounting under ASC 323</w:t>
      </w:r>
      <w:r>
        <w:rPr>
          <w:rFonts w:ascii="Times New Roman" w:cs="Times New Roman" w:eastAsia="Times New Roman" w:hAnsi="Times New Roman"/>
          <w:sz w:val="18"/>
          <w:szCs w:val="18"/>
          <w:i w:val="1"/>
          <w:iCs w:val="1"/>
          <w:color w:val="auto"/>
        </w:rPr>
        <w:t>, Investments - Equity Method and Joint Ventures</w:t>
      </w:r>
      <w:r>
        <w:rPr>
          <w:rFonts w:ascii="Times New Roman" w:cs="Times New Roman" w:eastAsia="Times New Roman" w:hAnsi="Times New Roman"/>
          <w:sz w:val="18"/>
          <w:szCs w:val="18"/>
          <w:color w:val="auto"/>
        </w:rPr>
        <w:t xml:space="preserve">, to fair value measurement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See Note 4 "Fair Value Measurements" for further information regarding the valuation techniques and inputs used to determine the fair value of Level 3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of compensation that is contributed by the employee up to 4.0% of eligible annual compensation after one year of service. The Company's service contributions to the 401(k) Plan amounted to approximately $0.6 million and $0.6 million for the three months ended September 30, 2026 and 2025, respectively, and $1.8 million and $1.6 million for the nine months ended September 30, 2026 and 2025, respectively, and are included in Salaries and benefits in the Condensed Consolidated Statements of Operations and Comprehensive Income (Loss). The Company's cash match is invested pursuant to the participant's contribution direction. Employer contributions are immediately 100.0% vested.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various equity incentive plans (the "Plans"), which are described in Note 14 to the consolidated financial statements in the Company's Annual Report on Form 10-K for the year ended December 31, 2025. During the period ended September 30, 2026, there were no material modifications to the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outstanding and remaining under the Plans at September 30, 2026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0"/>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62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Plans</w:t>
            </w:r>
          </w:p>
        </w:tc>
        <w:tc>
          <w:tcPr>
            <w:tcW w:w="0" w:type="dxa"/>
            <w:vAlign w:val="bottom"/>
          </w:tcPr>
          <w:p>
            <w:pPr>
              <w:spacing w:after="0"/>
              <w:rPr>
                <w:sz w:val="1"/>
                <w:szCs w:val="1"/>
                <w:color w:val="auto"/>
              </w:rPr>
            </w:pPr>
          </w:p>
        </w:tc>
      </w:tr>
      <w:tr>
        <w:trPr>
          <w:trHeight w:val="223"/>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2014</w:t>
            </w:r>
          </w:p>
        </w:tc>
        <w:tc>
          <w:tcPr>
            <w:tcW w:w="4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Incentive Plan ("2014 Plan")</w:t>
            </w:r>
          </w:p>
        </w:tc>
        <w:tc>
          <w:tcPr>
            <w:tcW w:w="26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54,402,262</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19,935,678</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Incentive Plan ("2020 Plan")</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112,256,721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32,491,059</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15,880,558</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Incentive Plan ("2020 MIP")</w:t>
            </w:r>
          </w:p>
        </w:tc>
        <w:tc>
          <w:tcPr>
            <w:tcW w:w="3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33,426,983</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Inducement Award Plan ("Inducement Plan")</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866,867</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1,321,485</w:t>
            </w:r>
          </w:p>
        </w:tc>
        <w:tc>
          <w:tcPr>
            <w:tcW w:w="0" w:type="dxa"/>
            <w:vAlign w:val="bottom"/>
          </w:tcPr>
          <w:p>
            <w:pPr>
              <w:spacing w:after="0"/>
              <w:rPr>
                <w:sz w:val="1"/>
                <w:szCs w:val="1"/>
                <w:color w:val="auto"/>
              </w:rPr>
            </w:pPr>
          </w:p>
        </w:tc>
      </w:tr>
      <w:tr>
        <w:trPr>
          <w:trHeight w:val="954"/>
        </w:trPr>
        <w:tc>
          <w:tcPr>
            <w:tcW w:w="4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cost presented in Salaries and benefits in the Condensed Consolidated Statements of Operations and Comprehensive Income (Loss)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69,206</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 ("PRSUs")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2020 Employee Stock Purchase Plan ("ESPP")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514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there was approximately $73.1 million of unrecognized stock-based compensation expense related to unvested stock options, unvested RSUs, unvested PRSUs and the ESPP.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did not grant stock options during the nine months ended September 30, 2026 and 2025, respectively.</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option activity under the 2020 Plan during the nine months ended September 30, 2026, was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1"/>
        </w:trPr>
        <w:tc>
          <w:tcPr>
            <w:tcW w:w="864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5"/>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2014 Plan during the nine months ended September 30, 2026,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8"/>
                <w:szCs w:val="18"/>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22,990,399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(1,058,454)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19,935,678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2026, outstanding stock options, substantially all of which are expected to vest, had an aggregate intrinsic value of $34.6 million, and a weighted-average remaining contractual term of 2.86 years. At September 30, 2026, there were 20,521,978 options exercisable under the Plan, with an aggregate intrinsic value of $34.6 million, a weighted-average exercise price of $3.07 per share, and a weighted-average remaining contractual term of 2.86 years. The total value of stock options exercised during the nine months ended September 30, 2026 and 2025 was $9.1 million and $1.4 million, respectively. Cash received from stock option exercises during the nine months ended September 30, 2026 and 2025 totaled $3.4 million and $0.6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total RSU activity is presented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64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42,953,954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9,804,938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(14,500,998)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(5,678,613)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32,579,281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January 7, 2026, the end of the performance period, the market conditions associated with the Market PRSUs were not achieved. Accordingly, the awards were forfeited and cancelled. Consistent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previously recognized compensation cost associated with these awards was not reversed and no additional compensation expense was recognized upon cancellation as the derived service period had been completed.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PRSU activity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75"/>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180" w:type="dxa"/>
            <w:vAlign w:val="bottom"/>
          </w:tcPr>
          <w:p>
            <w:pPr>
              <w:spacing w:after="0"/>
              <w:rPr>
                <w:sz w:val="21"/>
                <w:szCs w:val="21"/>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2026</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27,523,030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during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(27,523,030)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there was $0.2 million unrecognized share-based compensation expense related to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16,157,671 shares of Class A common stock were available for issuance under the ESPP.</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Black-Scholes option-pricing model to determine the fair value of the purchase rights under the ESPP for the most recent offering period, is as follows: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Offering period from May 22, 2026 to November 21,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7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r>
      <w:tr>
        <w:trPr>
          <w:trHeight w:val="743"/>
        </w:trPr>
        <w:tc>
          <w:tcPr>
            <w:tcW w:w="4200" w:type="dxa"/>
            <w:vAlign w:val="bottom"/>
          </w:tcPr>
          <w:p>
            <w:pPr>
              <w:spacing w:after="0"/>
              <w:rPr>
                <w:sz w:val="24"/>
                <w:szCs w:val="24"/>
                <w:color w:val="auto"/>
              </w:rPr>
            </w:pPr>
          </w:p>
        </w:tc>
        <w:tc>
          <w:tcPr>
            <w:tcW w:w="70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20</w:t>
            </w:r>
          </w:p>
        </w:tc>
      </w:tr>
      <w:tr>
        <w:trPr>
          <w:trHeight w:val="115"/>
        </w:trPr>
        <w:tc>
          <w:tcPr>
            <w:tcW w:w="4200" w:type="dxa"/>
            <w:vAlign w:val="bottom"/>
            <w:tcBorders>
              <w:bottom w:val="single" w:sz="8" w:color="9A9A9A"/>
            </w:tcBorders>
          </w:tcPr>
          <w:p>
            <w:pPr>
              <w:spacing w:after="0"/>
              <w:rPr>
                <w:sz w:val="10"/>
                <w:szCs w:val="10"/>
                <w:color w:val="auto"/>
              </w:rPr>
            </w:pPr>
          </w:p>
        </w:tc>
        <w:tc>
          <w:tcPr>
            <w:tcW w:w="7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of the Company for the three and nine months ended September 30, 2026 and 2025, was 0.0% and 0.0%, respectively. Although the Company generated net income for the three and nine months ended September 30, 2026, it continues to maintain significant net operating loss carryforwards and a net deferred tax asset position. As a result, and in accordance with accounting standards, the Company maintains a valuation allowance to reduce the value of the net deferred tax assets to zero. The Company believes that at September 30, 2026, it had no material uncertain tax positions. Interest and penalties related to unrecognized tax expense (benefits) are recognized in income tax expense, when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liabilities for interest and penalties accrued at September 30, 2026 and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(loss) per share attributable to Class A common stockholders and Class B common stockholders (collectively,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for the periods indicated were calculated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7"/>
                <w:szCs w:val="17"/>
                <w:color w:val="auto"/>
              </w:rPr>
            </w:pPr>
          </w:p>
        </w:tc>
        <w:tc>
          <w:tcPr>
            <w:tcW w:w="2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4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(in thousands, except for per share and share amounts)</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weighted average number of common shares and common share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equivalents outstanding</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531,602,371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512,743,521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527,642,546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510,191,111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17,076,158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14,330,623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PRSU</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55"/>
        </w:trPr>
        <w:tc>
          <w:tcPr>
            <w:tcW w:w="59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Diluted weighted average number of class A and class B common shares and</w:t>
            </w: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557,476,797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512,743,521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548,965,149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510,191,111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equivalents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Potentially dilutive securities are excluded from the computation of diluted earnings (loss) per share if their effect would be anti-dilutive. For the three and nine months ended September 30, 2026, certain potentially dilutive securities were excluded from the computation of diluted earnings per share because their inclusion would have been anti-dilutive. For the three and nine months ended September 30, 2025, the Company incurred a net loss; therefore, all potentially dilutive securities, which include Options, RSUs, and PRSUs, were excluded from the computation of diluted loss per share as their effect would have been anti-dilutive.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earnings (loss) per share of common stock: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6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6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tcPr>
          <w:p>
            <w:pPr>
              <w:spacing w:after="0"/>
              <w:rPr>
                <w:sz w:val="20"/>
                <w:szCs w:val="20"/>
                <w:color w:val="auto"/>
              </w:rPr>
            </w:pPr>
          </w:p>
        </w:tc>
        <w:tc>
          <w:tcPr>
            <w:tcW w:w="140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0" w:type="dxa"/>
            <w:vAlign w:val="bottom"/>
          </w:tcPr>
          <w:p>
            <w:pPr>
              <w:spacing w:after="0"/>
              <w:rPr>
                <w:sz w:val="1"/>
                <w:szCs w:val="1"/>
                <w:color w:val="auto"/>
              </w:rPr>
            </w:pPr>
          </w:p>
        </w:tc>
      </w:tr>
      <w:tr>
        <w:trPr>
          <w:trHeight w:val="225"/>
        </w:trPr>
        <w:tc>
          <w:tcPr>
            <w:tcW w:w="598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5,568,270</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23,828,441</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5,864,123</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23,828,441</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865,584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37,957,750</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879,131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37,957,750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28,343,028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28,343,028</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potentially dilutive shares excluded from computation of net earnings (loss)</w:t>
            </w: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6,433,854</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90,129,219</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6,743,254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90,129,219</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9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September 30, 2026 and December 31, 2025,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we will record accruals for loss contingencies when it is probable that a liability has been incurred and the amount of loss can be reasonably estimated.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Actions and Investigations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July 22, 2026, a putative class action complaint was filed against the Company in the United States District Court for the Middle District of Tennessee, captioned </w:t>
      </w:r>
      <w:r>
        <w:rPr>
          <w:rFonts w:ascii="Times New Roman" w:cs="Times New Roman" w:eastAsia="Times New Roman" w:hAnsi="Times New Roman"/>
          <w:sz w:val="18"/>
          <w:szCs w:val="18"/>
          <w:i w:val="1"/>
          <w:iCs w:val="1"/>
          <w:color w:val="auto"/>
        </w:rPr>
        <w:t>Christian et al. v. Clover Health Investments, Corp.</w:t>
      </w:r>
      <w:r>
        <w:rPr>
          <w:rFonts w:ascii="Times New Roman" w:cs="Times New Roman" w:eastAsia="Times New Roman" w:hAnsi="Times New Roman"/>
          <w:sz w:val="18"/>
          <w:szCs w:val="18"/>
          <w:color w:val="auto"/>
        </w:rPr>
        <w:t xml:space="preserve">, Case No. 3:26-cv-01035. On July 23, 2026, two additional putative class action complaints were filed in the same court, captioned </w:t>
      </w:r>
      <w:r>
        <w:rPr>
          <w:rFonts w:ascii="Times New Roman" w:cs="Times New Roman" w:eastAsia="Times New Roman" w:hAnsi="Times New Roman"/>
          <w:sz w:val="18"/>
          <w:szCs w:val="18"/>
          <w:i w:val="1"/>
          <w:iCs w:val="1"/>
          <w:color w:val="auto"/>
        </w:rPr>
        <w:t>Holman v. Clover Health Investments, Corp.</w:t>
      </w:r>
      <w:r>
        <w:rPr>
          <w:rFonts w:ascii="Times New Roman" w:cs="Times New Roman" w:eastAsia="Times New Roman" w:hAnsi="Times New Roman"/>
          <w:sz w:val="18"/>
          <w:szCs w:val="18"/>
          <w:color w:val="auto"/>
        </w:rPr>
        <w:t xml:space="preserve">, Case No. 3:26-cv-01047, and </w:t>
      </w:r>
      <w:r>
        <w:rPr>
          <w:rFonts w:ascii="Times New Roman" w:cs="Times New Roman" w:eastAsia="Times New Roman" w:hAnsi="Times New Roman"/>
          <w:sz w:val="18"/>
          <w:szCs w:val="18"/>
          <w:i w:val="1"/>
          <w:iCs w:val="1"/>
          <w:color w:val="auto"/>
        </w:rPr>
        <w:t>Griffin v. Clover Health Investments,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Corp.</w:t>
      </w:r>
      <w:r>
        <w:rPr>
          <w:rFonts w:ascii="Times New Roman" w:cs="Times New Roman" w:eastAsia="Times New Roman" w:hAnsi="Times New Roman"/>
          <w:sz w:val="18"/>
          <w:szCs w:val="18"/>
          <w:color w:val="auto"/>
        </w:rPr>
        <w:t>, Case No. 3:26-cv-01049. On July 24, 2026, another putative class action complaint was filed in the same court, captioned</w:t>
      </w:r>
      <w:r>
        <w:rPr>
          <w:rFonts w:ascii="Times New Roman" w:cs="Times New Roman" w:eastAsia="Times New Roman" w:hAnsi="Times New Roman"/>
          <w:sz w:val="18"/>
          <w:szCs w:val="18"/>
          <w:i w:val="1"/>
          <w:iCs w:val="1"/>
          <w:color w:val="auto"/>
        </w:rPr>
        <w:t xml:space="preserve"> Karwoski v. Clover Health Investments, Corp.</w:t>
      </w:r>
      <w:r>
        <w:rPr>
          <w:rFonts w:ascii="Times New Roman" w:cs="Times New Roman" w:eastAsia="Times New Roman" w:hAnsi="Times New Roman"/>
          <w:sz w:val="18"/>
          <w:szCs w:val="18"/>
          <w:color w:val="auto"/>
        </w:rPr>
        <w:t>, Case No. 3:26-cv-01054. The four referenced actions have now been consolidated as</w:t>
      </w:r>
      <w:r>
        <w:rPr>
          <w:rFonts w:ascii="Times New Roman" w:cs="Times New Roman" w:eastAsia="Times New Roman" w:hAnsi="Times New Roman"/>
          <w:sz w:val="18"/>
          <w:szCs w:val="18"/>
          <w:i w:val="1"/>
          <w:iCs w:val="1"/>
          <w:color w:val="auto"/>
        </w:rPr>
        <w:t xml:space="preserve"> In re Clover Health Investments, Corp. Data Breach Litigation</w:t>
      </w:r>
      <w:r>
        <w:rPr>
          <w:rFonts w:ascii="Times New Roman" w:cs="Times New Roman" w:eastAsia="Times New Roman" w:hAnsi="Times New Roman"/>
          <w:sz w:val="18"/>
          <w:szCs w:val="18"/>
          <w:color w:val="auto"/>
        </w:rPr>
        <w:t>, Case No. 3:26-cv-01035. The complaints arise from the cybersecurity incident disclosed by the Company on July 17,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assert claims relating to the alleged compromise of personally identifiable information and protected health information, including claims for negligence and other common law causes of action, on behalf of putative classes of individuals whose information was allegedly affected. The Company intends to vigorously defend these matters. At this early stage of the proceedings, the Company cannot reasonably estimate the possible loss or range of loss, if 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Operating Segments</w:t>
      </w:r>
    </w:p>
    <w:p>
      <w:pPr>
        <w:spacing w:after="0" w:line="16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Clover Health has one reportable segment: Insurance. The Insurance segment provides PPO and HMO plans to Medicare Advantage members in several states. The segment information is prepared on the same basis that the Company's chief executive officer uses, who is the Chief Operating Decision Maker ("CODM"). These segment groupings are consistent with information used by the CODM, to assess performance and allocate resources. The CODM uses segment gross profit in competitive analysis by benchmarking to the Company’s competitors. The competitive analysis along with the monitoring of budgeted versus actual results are used in assessing performance of the segment and in establishing management’s compensation. The accounting policies of the Insurance segment are the same as those described in the summary of significant accounting policies. The CODM does not receive or review a measure of assets by segment; asset information reviewed by the CODM is limited to consolidated liquidity metrics, including total cash and investment balances; accordingly, segment assets are not disclosed.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 Segment</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748,784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2,230,740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1,405,860</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1,879,515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1,190,954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50,273</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351,225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214,906</w:t>
            </w:r>
          </w:p>
        </w:tc>
      </w:tr>
      <w:tr>
        <w:trPr>
          <w:trHeight w:val="257"/>
        </w:trPr>
        <w:tc>
          <w:tcPr>
            <w:tcW w:w="5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30,741</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(168,526)</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(148,112)</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 Restrictions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Accordingly, the Company’s regulated insurance subsidiaries’ ability to declare and pay dividends is limited by state regulations, including requirements to obtain prior approval from the New Jersey Department of Banking and Insurance.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condensed consolidated results of operations and financial condition. The discussion should be read in conjunction with the unaudited condensed consolidated financial statements and notes thereto for the three and nine months ended September 30, 2026, contained in this Quarterly Report on Form 10-Q (the "Form 10-Q") and the audited consolidated financial statements and notes thereto for the year ended December 31, 2025, contained in the Company's Annual Report on Form 10-K for the year ended December 31, 2025, filed with the Securities and Exchange Commission (the "SEC") on February 27, 2026 (the "2025 Form 10-K"). This discussion contains forward-looking statements and involves numerous risks and uncertainties, including, but not limited to, those described in the "Risk Factors" section of the 2025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September 30, 2026, we operated our MA plans in five states and 203 counties, with 158,907 members.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summary highlights matters that management considers most significant to an understanding of our results for the three and nine months ended September 30, 2026. It is not a complete description of, and should be read together with, the more detailed discussion that follows and our condensed consolidated financial statements.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53% to $759.3 million for the three months ended September 30, 2026, and 57% to $2,251.7 million for the nine months ended September 30, 2026, compared to the respective prior-year periods, driven primarily by growth in our Medicare Advantage membership and higher per-member premium. We reported net income of $6.4 million and $61.8 million for the three and nine month periods, respectively, compared to losses in the prior-year periods.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results reflect continued membership growth alongside disciplined management of administrative spend. Adjusted SG&amp;A as a percentage of total revenues improved approximately 120 basis points for the nine months ended September 30, 2026 as compared to the prior-year period, as revenue growth outpaced growth in our administrative cost base. Adjusted EBITDA increased to $97.2 million for the nine months ended September 30, 2026, from $45.0 million in the prior-year period. We continued to maintain a strong liquidity position, with cash, cash equivalents, and investments of $512.6 million at September 30, 2026.</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gross profit increased approximately 57% to $442.4 million for the nine months ended September 30, 2026, broadly in line with our membership growth.</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under "Recent Developments" below, developments during the year relating to our Star Ratings are expected to affect payment years 2027 and 2028 rather than our current period results.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CMS Star Ratings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Payment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CMS's MA Star Ratings system, CMS annually awards between 1.0 and 5.0 Stars to MA plans based on performance in several categories.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CMS released the Company's 2026 Star Ratings on October 9, 2025 and had awarded the Company's PPO (contract H5141) and HMO plans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H8010) with 3.5 Stars and 4.0 Stars, respectively.</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June 9, 2026, CMS informed the Company that, consistent with a court judgment in Clover Insurance Co. v. HHS, Civ. A. No. 25-142 (S.D. Ga.) (the "Stars Litigation"), CMS had recalculated the 2026 Star Rating for the Company's PPO MA contract, H5141, from 3.5 Stars to 4.5 Stars for payment year 2027.</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previously disclosed, on June 17, 2026, CMS issued updated guidance informing all MA Organizations that it was voluntarily recalculating the 2027 Quality Bonus Payment ("QBP") ratings for certain MA contracts as a result of the decision in the Stars Litigation.</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CMS's guidance stated that MA organizations can view their recalculated 2027 QBP ratings in the Health Plan Management System ("HPMS"). HPMS displayed the Company's PPO MA contract, H5141, rated at 4.5 Stars for payment year 2027, and also displayed that the 2026 Star Rating for the Company's HMO MA contract, H8010, increased from 4.0 Stars to 4.5 Stars, which also impacts payment year 2027.</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21, 2026, CMS filed its Notice of Appeal of the district court's decision in the Stars Litigation with the United States Court of Appeals for the Eleventh Circuit.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Payment Year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dated October 8, 2026 (the "Form 8-K"), CMS released the 2027 Star Ratings, which apply to payment year 2028. The Company's PPO MA plans (contract H5141) and HMO MA plan (contract H8010) received 5 Stars and 4.5 Stars, respectively. The Company also disclosed in the Form 8-K that in light of the decision in the Stars Litigation issued on May 27, 2026, which is on appeal, CMS calculated the Company’s Star Rating for its PPO MA plans removing the 20 measures included in the court decision, awarding the Company’s PPO MA plans 5 Stars. With the 20 measures included, the Company’s PPO MA plans would have received 4.5 Stars.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based on one reportable segment: Insurance. Through our Insurance segment, we provide PPO and HMO plans to Medicare Advantage members in several states.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grouping is consistent with the information used by our Chief Executive Officer (identified as our chief operating decision maker) ("CODM") to assess performance and allocate the Company's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presents key financial measures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1"/>
        </w:trPr>
        <w:tc>
          <w:tcPr>
            <w:tcW w:w="2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20"/>
              <w:spacing w:after="0" w:line="238" w:lineRule="exact"/>
              <w:rPr>
                <w:sz w:val="20"/>
                <w:szCs w:val="20"/>
                <w:color w:val="auto"/>
              </w:rPr>
            </w:pPr>
            <w:r>
              <w:rPr>
                <w:rFonts w:ascii="Times New Roman" w:cs="Times New Roman" w:eastAsia="Times New Roman" w:hAnsi="Times New Roman"/>
                <w:sz w:val="16"/>
                <w:szCs w:val="16"/>
                <w:b w:val="1"/>
                <w:bCs w:val="1"/>
                <w:color w:val="auto"/>
              </w:rPr>
              <w:t xml:space="preserve">PMPM </w:t>
            </w:r>
            <w:r>
              <w:rPr>
                <w:rFonts w:ascii="Times New Roman" w:cs="Times New Roman" w:eastAsia="Times New Roman" w:hAnsi="Times New Roman"/>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40"/>
              <w:spacing w:after="0" w:line="238" w:lineRule="exact"/>
              <w:rPr>
                <w:sz w:val="20"/>
                <w:szCs w:val="20"/>
                <w:color w:val="auto"/>
              </w:rPr>
            </w:pPr>
            <w:r>
              <w:rPr>
                <w:rFonts w:ascii="Times New Roman" w:cs="Times New Roman" w:eastAsia="Times New Roman" w:hAnsi="Times New Roman"/>
                <w:sz w:val="16"/>
                <w:szCs w:val="16"/>
                <w:b w:val="1"/>
                <w:bCs w:val="1"/>
                <w:color w:val="auto"/>
              </w:rPr>
              <w:t xml:space="preserve">PMPM </w:t>
            </w:r>
            <w:r>
              <w:rPr>
                <w:rFonts w:ascii="Times New Roman" w:cs="Times New Roman" w:eastAsia="Times New Roman" w:hAnsi="Times New Roman"/>
                <w:sz w:val="21"/>
                <w:szCs w:val="21"/>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20"/>
              <w:spacing w:after="0" w:line="238" w:lineRule="exact"/>
              <w:rPr>
                <w:sz w:val="20"/>
                <w:szCs w:val="20"/>
                <w:color w:val="auto"/>
              </w:rPr>
            </w:pPr>
            <w:r>
              <w:rPr>
                <w:rFonts w:ascii="Times New Roman" w:cs="Times New Roman" w:eastAsia="Times New Roman" w:hAnsi="Times New Roman"/>
                <w:sz w:val="16"/>
                <w:szCs w:val="16"/>
                <w:b w:val="1"/>
                <w:bCs w:val="1"/>
                <w:color w:val="auto"/>
              </w:rPr>
              <w:t xml:space="preserve">PMPM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9"/>
              <w:spacing w:after="0" w:line="238" w:lineRule="exact"/>
              <w:rPr>
                <w:sz w:val="20"/>
                <w:szCs w:val="20"/>
                <w:color w:val="auto"/>
              </w:rPr>
            </w:pPr>
            <w:r>
              <w:rPr>
                <w:rFonts w:ascii="Times New Roman" w:cs="Times New Roman" w:eastAsia="Times New Roman" w:hAnsi="Times New Roman"/>
                <w:sz w:val="16"/>
                <w:szCs w:val="16"/>
                <w:b w:val="1"/>
                <w:bCs w:val="1"/>
                <w:color w:val="auto"/>
                <w:w w:val="94"/>
              </w:rPr>
              <w:t xml:space="preserve">PMPM </w:t>
            </w:r>
            <w:r>
              <w:rPr>
                <w:rFonts w:ascii="Times New Roman" w:cs="Times New Roman" w:eastAsia="Times New Roman" w:hAnsi="Times New Roman"/>
                <w:sz w:val="21"/>
                <w:szCs w:val="21"/>
                <w:b w:val="1"/>
                <w:bCs w:val="1"/>
                <w:color w:val="auto"/>
                <w:w w:val="94"/>
                <w:vertAlign w:val="superscript"/>
              </w:rPr>
              <w:t>(1)</w:t>
            </w:r>
          </w:p>
        </w:tc>
      </w:tr>
      <w:tr>
        <w:trPr>
          <w:trHeight w:val="208"/>
        </w:trPr>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PMPM amounts)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Consolidated:</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208"/>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759,304</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496,650</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2,251,660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1,436,601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21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medical claims incurred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629,455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423,473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1,809,268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1,154,907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213"/>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129,849</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73,177</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442,392</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281,694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SG&amp;A</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71,066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345,169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236,666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3"/>
        </w:trPr>
        <w:tc>
          <w:tcPr>
            <w:tcW w:w="2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16,050</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45,028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95,534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43,743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bl>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Insurance Segment (before intersegment eliminations; see Note 13)</w:t>
      </w:r>
      <w:r>
        <w:rPr>
          <w:rFonts w:ascii="Times New Roman" w:cs="Times New Roman" w:eastAsia="Times New Roman" w:hAnsi="Times New Roman"/>
          <w:sz w:val="21"/>
          <w:szCs w:val="21"/>
          <w:b w:val="1"/>
          <w:bCs w:val="1"/>
          <w:i w:val="1"/>
          <w:iCs w:val="1"/>
          <w:color w:val="auto"/>
          <w:vertAlign w:val="superscript"/>
        </w:rPr>
        <w:t>(2)</w:t>
      </w: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2140" w:type="dxa"/>
            <w:vAlign w:val="bottom"/>
            <w:tcBorders>
              <w:top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Average Medicare Advantage</w:t>
            </w: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158,383</w:t>
            </w: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108,231</w:t>
            </w: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156,610</w:t>
            </w: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105,228</w:t>
            </w:r>
          </w:p>
        </w:tc>
        <w:tc>
          <w:tcPr>
            <w:tcW w:w="3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membership (#)</w:t>
            </w: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Premiums earned, net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748,784</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1,576</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479,128</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1,467</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2,230,740</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1,583</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1,405,860</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162"/>
        </w:trPr>
        <w:tc>
          <w:tcPr>
            <w:tcW w:w="21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Insurance Net medical claims</w:t>
            </w:r>
          </w:p>
        </w:tc>
        <w:tc>
          <w:tcPr>
            <w:tcW w:w="3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654,093</w:t>
            </w:r>
          </w:p>
        </w:tc>
        <w:tc>
          <w:tcPr>
            <w:tcW w:w="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1,377</w:t>
            </w:r>
          </w:p>
        </w:tc>
        <w:tc>
          <w:tcPr>
            <w:tcW w:w="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428,855</w:t>
            </w:r>
          </w:p>
        </w:tc>
        <w:tc>
          <w:tcPr>
            <w:tcW w:w="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1,321</w:t>
            </w: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1,879,515</w:t>
            </w:r>
          </w:p>
        </w:tc>
        <w:tc>
          <w:tcPr>
            <w:tcW w:w="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1,333</w:t>
            </w:r>
          </w:p>
        </w:tc>
        <w:tc>
          <w:tcPr>
            <w:tcW w:w="2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1,190,954</w:t>
            </w:r>
          </w:p>
        </w:tc>
        <w:tc>
          <w:tcPr>
            <w:tcW w:w="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13"/>
        </w:trPr>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incurred</w:t>
            </w:r>
          </w:p>
        </w:tc>
        <w:tc>
          <w:tcPr>
            <w:tcW w:w="3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Insurance Benefits Expense</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91.1 %</w:t>
            </w:r>
          </w:p>
        </w:tc>
        <w:tc>
          <w:tcPr>
            <w:tcW w:w="3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93.5 %</w:t>
            </w:r>
          </w:p>
        </w:tc>
        <w:tc>
          <w:tcPr>
            <w:tcW w:w="3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88.4 %</w:t>
            </w:r>
          </w:p>
        </w:tc>
        <w:tc>
          <w:tcPr>
            <w:tcW w:w="3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89.4 %</w:t>
            </w:r>
          </w:p>
        </w:tc>
        <w:tc>
          <w:tcPr>
            <w:tcW w:w="3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Ratio</w:t>
            </w:r>
          </w:p>
        </w:tc>
        <w:tc>
          <w:tcPr>
            <w:tcW w:w="3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right="20" w:firstLine="6"/>
        <w:spacing w:after="0" w:line="242" w:lineRule="auto"/>
        <w:tabs>
          <w:tab w:leader="none" w:pos="15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53" w:lineRule="exact"/>
        <w:rPr>
          <w:rFonts w:ascii="Times New Roman" w:cs="Times New Roman" w:eastAsia="Times New Roman" w:hAnsi="Times New Roman"/>
          <w:sz w:val="16"/>
          <w:szCs w:val="16"/>
          <w:color w:val="auto"/>
          <w:vertAlign w:val="superscript"/>
        </w:rPr>
      </w:pPr>
    </w:p>
    <w:p>
      <w:pPr>
        <w:jc w:val="both"/>
        <w:ind w:left="20" w:right="20" w:firstLine="6"/>
        <w:spacing w:after="0"/>
        <w:tabs>
          <w:tab w:leader="none" w:pos="166"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Insurance segment amounts include medical and administrative services purchased from the Company's non-insurance subsidiaries at contracted rates. These intersegment amounts are eliminated in the condensed consolidated financial statements; as a result, Insurance segment net medical claims incurred and the Insurance segment BER are higher than the corresponding amounts calculated on a consolidated basis.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revenues represents the sum of Premiums earned, net and Other income for a given period. Premiums earned, net reflects the earned portion of premiums under our Medicare Advantage contracts with CMS, net of premiums ceded to reinsurers and inclusive of risk adjustment revenue. Other income primarily consists of investment income and other ancillary revenues. We believe Total revenues is a useful measure of the overall scale and growth of our business, as it captures the aggregate economic inflows generated from our Insurance operations and related activities. Management uses Total revenues to evaluate period-over-period growth, assess the impact of membership levels and risk adjustment performance, analyze revenue trends relative to medical cost and operating expense trends, and support strategic planning and capital allocation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and associated premiums earned and medical claim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net medical claims incurred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measures in this Form 10-Q, including Consolidated Gross profit, Adjusted SG&amp;A, Adjusted EBITDA, Adjusted Net income, and Insurance Benefits Expense Ratio ("BER").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consolidated financial statements prepared in accordance with GAAP.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these non-GAAP financial measures, including the reasons management uses such measures, and the reconciliations of these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to the comparable GAAP measures, please see "Consolidated Gross profit", "Adjusted SG&amp;A", "Adjusted EBITDA",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and "Insurance Benefits Expense Ratio"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Gross profit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represents net income (loss) before salaries and benefits, general and administrative expenses, depreciation and amortization, premium deficiency reserve expense, restructuring costs, impairment of goodwill and other intangible assets, interest expense, change in fair value of warrants, and loss on investment. We believe that Consolidated Gross profit provides management, investors, and others a useful view of consolidated business performance and is much more informative of operational results. Accordingly, we believe that Consolidated Gross profit provides investors and others useful information to understand and evaluate our operating results in the same manner as our management and our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8"/>
                <w:szCs w:val="18"/>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(GAAP):</w:t>
            </w:r>
          </w:p>
        </w:tc>
        <w:tc>
          <w:tcPr>
            <w:tcW w:w="20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168,526</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 (non-GAAP)</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2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Adjusted SG&amp;A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non-recurring legal expenses and settlements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SG&amp;A, a GAAP financial measure, to Adjusted SG&amp;A, a non-GAAP measure: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7"/>
                <w:szCs w:val="17"/>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Pr>
          <w:p>
            <w:pPr>
              <w:spacing w:after="0"/>
              <w:rPr>
                <w:sz w:val="20"/>
                <w:szCs w:val="20"/>
                <w:color w:val="auto"/>
              </w:rPr>
            </w:pPr>
          </w:p>
        </w:tc>
        <w:tc>
          <w:tcPr>
            <w:tcW w:w="24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55,973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167,174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168,526</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66,831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211,759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148,112</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SG&amp;A (GAAP)</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122,804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97,148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378,933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316,638</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(78,738)</w:t>
            </w:r>
          </w:p>
        </w:tc>
      </w:tr>
      <w:tr>
        <w:trPr>
          <w:trHeight w:val="229"/>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(1,234)</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SG&amp;A (non-GAAP)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113,799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71,066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345,169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236,666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(GAAP)</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759,304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496,650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2,251,660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1,436,601</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 (non-GAAP) as a percentage of Total revenues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income (loss) before depreciation and amortization, loss on investment, interest expense, change in fair value of warrants, stock-based compensation, premium deficiency reserve expense, restructuring (recoveries)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Net income (loss), a GAAP financial measure, to Adjusted EBITDA, a non-GAAP financial measure: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8"/>
                <w:szCs w:val="18"/>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(GAAP):</w:t>
            </w:r>
          </w:p>
        </w:tc>
        <w:tc>
          <w:tcPr>
            <w:tcW w:w="1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0" w:type="dxa"/>
            <w:vAlign w:val="bottom"/>
          </w:tcPr>
          <w:p>
            <w:pPr>
              <w:spacing w:after="0"/>
              <w:rPr>
                <w:sz w:val="1"/>
                <w:szCs w:val="1"/>
                <w:color w:val="auto"/>
              </w:rPr>
            </w:pPr>
          </w:p>
        </w:tc>
      </w:tr>
      <w:tr>
        <w:trPr>
          <w:trHeight w:val="23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1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(non-GAAP)</w:t>
            </w:r>
          </w:p>
        </w:tc>
        <w:tc>
          <w:tcPr>
            <w:tcW w:w="1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is a non-GAAP financial measure defined by us as net income (loss) before stock-based compensation, premium deficiency reserve benefit, restructuring costs, non-recurring legal expenses and settlement, and impairment of goodwill and other intangible assets. Adjusted Net income is a key measure used by our management team and the board of directors to understand and evaluate our operating performance and trends. We believe that Adjusted Net income is helpful to investors in assessing the Company’s financial performance in the same manner as our management and our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1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5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(GAAP):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78,738</w:t>
            </w:r>
          </w:p>
        </w:tc>
      </w:tr>
      <w:tr>
        <w:trPr>
          <w:trHeight w:val="23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Benefits Expense Ratio</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Insurance Benefits Expense Ratio ("BER") is a non-GAAP financial measure. We calculate our BER by taking the total of Insurance net medical claims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for the current year. We believe our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 The Company has discontinued disclosure of Normalized Insurance Benefits Expense Ratio ("Normalized BER") beginning in the first quarter of 2026, as management no longer uses this metric to evaluate operating performance or allocate resources. The Company will continue to present Insurance Benefits Expense Ratio.</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provide reconciliations of Net medical claims incurred and Premiums earned, net, which are GAAP measures, to Insurance BER, which represents a non-GAAP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8"/>
                <w:szCs w:val="18"/>
                <w:color w:val="auto"/>
              </w:rPr>
            </w:pPr>
          </w:p>
        </w:tc>
        <w:tc>
          <w:tcPr>
            <w:tcW w:w="2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24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5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medical claims incurred (GAAP)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629,455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423,473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1,809,268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1,154,907</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24,638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5,382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36,047</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net medical claims incurred (GAAP)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654,093</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428,855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1,879,515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1,190,954</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Quality improvements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27,822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19,341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92,505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66,244</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Benefits Expense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681,915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448,196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1,972,020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1,257,198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(GAAP)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748,784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7"/>
              </w:rPr>
              <w:t>2,230,740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1,405,860</w:t>
            </w:r>
          </w:p>
        </w:tc>
      </w:tr>
      <w:tr>
        <w:trPr>
          <w:trHeight w:val="22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Benefits Expense Ratio (non-GAAP)</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-1652270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20" w:right="40" w:firstLine="6"/>
        <w:spacing w:after="0" w:line="200" w:lineRule="auto"/>
        <w:tabs>
          <w:tab w:leader="none" w:pos="179"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amounts paid by the Insurance segment to the Company's non-insurance subsidiaries for medical and administrative services at contracted rates, which are eliminated in consolidation. See Note 13, Operating Segments.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three months ended September 30, 2026 and 2025. The period-to-period comparison of results is not necessarily indicative of results for future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Between 2026 and 2025</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$87 and $92 for the three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September 30, 2026 and 2025,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748,784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269,656</w:t>
            </w:r>
          </w:p>
        </w:tc>
        <w:tc>
          <w:tcPr>
            <w:tcW w:w="80" w:type="dxa"/>
            <w:vAlign w:val="bottom"/>
          </w:tcPr>
          <w:p>
            <w:pPr>
              <w:spacing w:after="0"/>
              <w:rPr>
                <w:sz w:val="21"/>
                <w:szCs w:val="21"/>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56.3 %</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759,304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262,654</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80" w:type="dxa"/>
            <w:vAlign w:val="bottom"/>
          </w:tcPr>
          <w:p>
            <w:pPr>
              <w:spacing w:after="0"/>
              <w:rPr>
                <w:sz w:val="23"/>
                <w:szCs w:val="23"/>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752,869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231,842</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80" w:type="dxa"/>
            <w:vAlign w:val="bottom"/>
          </w:tcPr>
          <w:p>
            <w:pPr>
              <w:spacing w:after="0"/>
              <w:rPr>
                <w:sz w:val="19"/>
                <w:szCs w:val="19"/>
                <w:color w:val="auto"/>
              </w:rPr>
            </w:pPr>
          </w:p>
        </w:tc>
        <w:tc>
          <w:tcPr>
            <w:tcW w:w="1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80" w:type="dxa"/>
            <w:vAlign w:val="bottom"/>
          </w:tcPr>
          <w:p>
            <w:pPr>
              <w:spacing w:after="0"/>
              <w:rPr>
                <w:sz w:val="19"/>
                <w:szCs w:val="19"/>
                <w:color w:val="auto"/>
              </w:rPr>
            </w:pPr>
          </w:p>
        </w:tc>
        <w:tc>
          <w:tcPr>
            <w:tcW w:w="14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-668020</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-2459355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earned, net increased $269.7 million, or 56%, to $748.8 million for the three months ended September 30, 2026, compared to the three months ended September 30, 2025. The increase was primarily driven by growth in our average membership over the period, which increased approximately 46%, together with an approximate 7% increase in per-member premium. The higher per-member premium reflected higher CMS premium rates, including the effect of being paid on 4.0 Stars in the current payment year compared to 3.5 Stars in the prior period for our PPO plans, which cover the large majority of our members.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decreased by $7.0 million, or 40%, to $10.5 million for the three months ended September 30, 2026, compared to the three months ended September 30, 2025. The decrease was primarily driven by the absence in 2026 of a non-recurring gain recognized in the prior-year period as a result of an accounting transition related to the Company's investment in Character Biosciences. This was partially offset by an unrealized gain from the fair value remeasurement from the Company's Thyme Care investment during the current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medical claims incurred increased $206.0 million, or 49%, to $629.5 million for the three months ended September 30, 2026, compared to the three months ended September 30, 2025. The increase was primarily driven by growth in our average membership during the period, which increased approximately 46%, together with higher per-member medical costs. On a per-member basis, net medical claims incurred increased approximately 2% to $1,325 from $1,304, driven by the current-year benefit design and general medical cost trends.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increased by $7.8 million, or 16%, to $56.0 million for the three months ended September 30, 2026, compared to the three months ended September 30, 2025. The increase was driven primarily by higher cash compensation, including base salaries associated with increased headcount to support our membership growth, partially offset by lower stock-based compensation expense, reflecting the completion in January 2026 of the requisite service period for certain founder equity awards granted in 2021.</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$17.9 million, or 37%, to $66.8 million for the three months ended September 30, 2026, compared to the three months ended September 30, 2025. The increase was primarily driven by higher administrative costs to support the growth in our membership, including higher professional fees, broker commissions, and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nine months ended September 30, 2026 and 2025. The period-to-period comparison of results is not necessarily indicative of results for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7"/>
                <w:szCs w:val="17"/>
                <w:color w:val="auto"/>
              </w:rPr>
            </w:pPr>
          </w:p>
        </w:tc>
        <w:tc>
          <w:tcPr>
            <w:tcW w:w="25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Change Between 2026 and 2025</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$270 and $284 for the nine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months ended September 30, 2026 and 2025,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2,230,740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1,405,860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824,880</w:t>
            </w:r>
          </w:p>
        </w:tc>
        <w:tc>
          <w:tcPr>
            <w:tcW w:w="80" w:type="dxa"/>
            <w:vAlign w:val="bottom"/>
          </w:tcPr>
          <w:p>
            <w:pPr>
              <w:spacing w:after="0"/>
              <w:rPr>
                <w:sz w:val="21"/>
                <w:szCs w:val="21"/>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20,920</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2,251,660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815,059</w:t>
            </w:r>
          </w:p>
        </w:tc>
        <w:tc>
          <w:tcPr>
            <w:tcW w:w="8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57"/>
        </w:trPr>
        <w:tc>
          <w:tcPr>
            <w:tcW w:w="5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654,361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167,174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168,526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2,189,890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717,079</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97,980</w:t>
            </w:r>
          </w:p>
        </w:tc>
        <w:tc>
          <w:tcPr>
            <w:tcW w:w="80" w:type="dxa"/>
            <w:vAlign w:val="bottom"/>
          </w:tcPr>
          <w:p>
            <w:pPr>
              <w:spacing w:after="0"/>
              <w:rPr>
                <w:sz w:val="19"/>
                <w:szCs w:val="19"/>
                <w:color w:val="auto"/>
              </w:rPr>
            </w:pPr>
          </w:p>
        </w:tc>
        <w:tc>
          <w:tcPr>
            <w:tcW w:w="1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-24765</wp:posOffset>
            </wp:positionV>
            <wp:extent cx="514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-814070</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-2605405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earned, net increased $824.9 million, or 59%, to $2,230.7 million for the nine months ended September 30, 2026, compared to the nine months ended September 30, 2025. The increase was primarily driven by growth in our average membership over the period, which increased approximately 49%, together with an approximately 7% increase in per-member premium. The higher per-member premium reflected higher CMS premium rates, including the effect of being paid on 4.0 Stars in the current payment year compared to 3.5 Stars in the prior period for our PPO plans, which cover the large majority of our members.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decreased by $9.8 million, or 32%, to $20.9 million for the nine months ended September 30, 2026, compared to the nine months ended September 30, 2025. The decrease was primarily driven by the absence in 2026 of a non-recurring gain recognized in the prior-year period as a result of an accounting transition related to the Company's investment in Character Biosciences. This was partially offset by an unrealized gain from the fair value remeasurement from the Company's Thyme Care investment during the current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medical claims incurred increased $654.4 million, or 57%, to $1,809.3 million for the nine months ended September 30, 2026, compared to the nine months ended September 30, 2025. The increase was primarily driven by growth in our average membership during the period, which increased approximately 49%, together with higher per-member medical costs. On a per-member basis, net medical claims incurred increased approximately 5% to $1,284 from $1,219, driven by the current-year benefit design and general medical cost trends.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decreased by $1.4 million, or 1%, to $167.2 million for the nine months ended September 30, 2026, compared to the nine months ended September 30, 2025. This decrease was primarily driven by lower stock-based compensation expense, reflecting the completion in January 2026 of the requisite service period for certain founder equity awards granted in 2021, partially offset by higher cash compensation, including base salaries associated with increased headcount to support our membership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$63.6 million, or 43%, to $211.8 million for the nine months ended September 30, 2026, compared to the nine months ended September 30, 2025. The increase was primarily driven by higher administrative costs to support the growth in our membership, including higher professional fees, broker commissions, and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primarily from the proceeds we received through premiums earned under our MA plans. We expect that our cash, cash equivalents,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equivalents and investment securities consist primarily of money market funds, U.S. government debt securities, and corporate debt securities. At September 30, 2026 and December 31, 2025, total cash, cash equivalents, and investments were $512.6 million and $319.9 million, respectively. These totals consist of $240.0 million and $224.6 million at September 30, 2026 and December 31, 2025, respectively, that specifically relate to available-for-sale and held-to-maturity investment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Unregulated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total cash, cash equivalents, and investments for the parent company, Clover Health Investments, Corp., and unregulated subsidiaries were $153.3 million and $122.0 million, respectively.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Entities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2026 and December 31, 2025, total cash, cash equivalents, and investments for our regulated subsidiaries were $359.3 million and $197.9 million, respectively. Additionally, our regulated insurance subsidiaries held $176.7 million and $178.1 million of available-for-sale and held-to-maturity investment securities at September 30, 2026 and December 31, 2025, respectively. Our use of operating cash derived from our unregulated subsidiaries is generally not restricted by departments of insurance (or comparable state regulatory agencies). Our regulated insurance subsidiaries are subject to regulations and standards in their respective jurisdictions on their ability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subsidiaries may in the future adopt statutory provisions more restrictive than those currently in effect.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20 "Dividend Restrictions", 21 "Statutory Equity", and 22 "Regulatory Matters" in the 2025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9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flows for the nine months ended September 30, 2026 and 2025.</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40" w:type="dxa"/>
            <w:vAlign w:val="bottom"/>
          </w:tcPr>
          <w:p>
            <w:pPr>
              <w:spacing w:after="0"/>
              <w:rPr>
                <w:sz w:val="24"/>
                <w:szCs w:val="24"/>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8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6"/>
                <w:szCs w:val="16"/>
                <w:color w:val="auto"/>
              </w:rPr>
            </w:pPr>
          </w:p>
        </w:tc>
      </w:tr>
      <w:tr>
        <w:trPr>
          <w:trHeight w:val="23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Data:</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203,462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39,071</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(44,777)</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short-term investments, and our current projections of cash flows from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operating activities was $203.5 million, which reflects Net income of $61.8 million. The changes in operating assets and liabilities were largely attributable to a $115.9 million increase in Unpaid claims. Non-cash activities primarily included a $29.4 million charge to Stock-based compensation.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operating activities was $1.2 million, which reflects a Net loss of $36.2 million. Non-cash activities primarily included a $78.7 million charge to Stock-based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of $8.0 million was primarily due to $73.1 million used to purchase investments, partially offset by $67.5 million provided from the sales and maturities of investment securities.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2025 of $39.1 million was primarily due to $139.5 million provided from the sales and maturities of investment securities. This was partially offset by $99.0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investing activities, please refer to Note 3 "Investment Securities" to our condensed consolidated financial statements included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2026 of $5.7 million was primarily the result of cash paid for shares withheld related to stock-based compensation totaling $9.7 million.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2025 of $44.8 million was primarily the result of cash paid for shares withheld related to stock-based compensation totaling $27.7 million in addition to repurchases of our Class A common stock totaling $18.3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financing arrangements at September 30,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cash requirements from known contractual obligations and commitments at September 30, 2026 include operating lease obligations of $3.9 million. These commitments are associated with contracts that were enforceable and legally binding at September 30, 2026, and that specified all significant terms, including fixed or minimum services to be used, fixed, minimum, or variable price provisions, and the approximate timing of the actions under the contracts. There were no other material cash requirements from known contractual obligations and commitments at September 30, 2026. For additional information regarding our remaining estimated contractual obligations and commitments, see Note 12 "Commitments and Contingencies" in the accompanying notes to the condensed consolidated financial statements included in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and estimates involve a significant degree of judgment and complexity. There have been no significant changes in our critical accounting policies and estimates during the three months ended September 30, 2026, as compared to the critical accounting policies and estimates disclosed in the section titled "Management's Discussion and Analysis of Financial Condition and Results of Operations" included in the 2025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accompanying notes to the consolidated financial statements included in this Form 10-Q for a discussion of accounting pronouncements recently adopted and recently issued accounting pronouncements not yet adopted and their potential impact to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Our fixed-maturity portfolio is invested primarily in U.S. government and government agency securities and investment-grade corporate debt securities. At September 30, 2026, all of our fixed-maturity securities were rated investment grade, and none were unrated or rated below investment grade.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September 30, 2026, pursuant to Rule 13a-15(b) under the Securities Exchange Act of 1934, as amended (the "Exchange Act"). Based upon that evaluation, our Certifying Officers concluded that, at September 30, 2026, our disclosure controls and procedures were effective.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8"/>
          <w:szCs w:val="18"/>
          <w:color w:val="000000"/>
        </w:rPr>
        <w:t>results</w:t>
      </w:r>
      <w:r>
        <w:rPr>
          <w:rFonts w:ascii="Times New Roman" w:cs="Times New Roman" w:eastAsia="Times New Roman" w:hAnsi="Times New Roman"/>
          <w:sz w:val="18"/>
          <w:szCs w:val="18"/>
          <w:color w:val="231F20"/>
        </w:rPr>
        <w:t xml:space="preserve"> of operation.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12 "Commitments and Contingencies" in the accompanying notes to condensed consolidated financial statements included in Part I, Item 1 of this Form 10-Q,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as subsequently disclosed in our periodic reports, there have been no material changes in our risk factors from those disclosed in Part I, Item 1A of the 2025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2025 Form 10-K, as well as the factors identified under "Cautionary Note Regarding Forward-Looking Statements" at the beginning of Part I, Item 1 of this Form 10-Q and as may be updated in subsequent filings with the SEC.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as described below, one of the Company’s officers (as defined in Rule 16a-1(f) of the Exchange Act) adopted or terminated a Rule 10b5-1 trading arrangement or non-Rule 10b5-1 trading arrangement (as such terms are defined in Item 408(a) of Regulation S-K of the Securities Act).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7, 2026, Andrew Toy, the Company’s Chief Executive Officer and a director, terminated his Rule 10b5-1 trading arrangement previously adopted on May 14, 2026. The arrangement was intended to satisfy the affirmative defense conditions of Rule 10b5-1(c) under the Securities Exchange Act of 1934, as amended, and provided for the potential sale of up to 3,786,201 shares of the Company’s Class A common stock beginning no earlier than August 13, 2026, and ending no later than December 31, 2027, subject to specified market price conditions and other terms. No trades were executed under the arrangement prior to its termination.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below:</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9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 Adopted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10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9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360" w:val="left"/>
          <w:tab w:leader="none" w:pos="788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Clay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Clay Thornton</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p>
      <w:pPr>
        <w:spacing w:after="0" w:line="369" w:lineRule="exact"/>
        <w:rPr>
          <w:sz w:val="20"/>
          <w:szCs w:val="20"/>
          <w:color w:val="auto"/>
        </w:rPr>
      </w:pPr>
    </w:p>
    <w:p>
      <w:pPr>
        <w:ind w:left="20"/>
        <w:spacing w:after="0"/>
        <w:tabs>
          <w:tab w:leader="none" w:pos="5360" w:val="left"/>
          <w:tab w:leader="none" w:pos="784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 Oldakowski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3947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Joe Oldakowski</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81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nine months ended September 30, 2026,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Clay Thornton, certify that:</w:t>
      </w:r>
    </w:p>
    <w:p>
      <w:pPr>
        <w:spacing w:after="0" w:line="225"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nine months ended September 30, 2026,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1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Clay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Clay Thornton</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nine months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Dated: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Clover Health Investments, Corp. (the “Company”) for the nine months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160" w:val="left"/>
        </w:tabs>
        <w:rPr>
          <w:sz w:val="20"/>
          <w:szCs w:val="20"/>
          <w:color w:val="auto"/>
        </w:rPr>
      </w:pPr>
      <w:r>
        <w:rPr>
          <w:rFonts w:ascii="Times New Roman" w:cs="Times New Roman" w:eastAsia="Times New Roman" w:hAnsi="Times New Roman"/>
          <w:sz w:val="18"/>
          <w:szCs w:val="18"/>
          <w:color w:val="auto"/>
        </w:rPr>
        <w:t>Dated: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Clay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Clay Thornton</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2026-11-06T07:06:35Z</dcterms:created>
  <dcterms:modified xsi:type="dcterms:W3CDTF">2026-11-06T07:06:35Z</dcterms:modified>
</cp:coreProperties>
</file>