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90444.xml.htm"/>
      <w:bookmarkStart w:id="1" w:name="kswkform4_178959044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Wai Conrad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CLOVER HEALTH INVESTMENTS,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NOT APPLICABLE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CLOVER HEALTH INVESTMENTS, CORP. /DE</w:t>
              </w:r>
            </w:hyperlink>
            <w:r>
              <w:rPr/>
              <w:t xml:space="preserve"> [ </w:t>
            </w:r>
            <w:r>
              <w:rPr>
                <w:rFonts w:ascii="Times;serif" w:hAnsi="Times;serif"/>
                <w:color w:val="0000FF"/>
                <w:sz w:val="24"/>
                <w:shd w:fill="FFFFFF" w:val="clear"/>
              </w:rPr>
              <w:t>CLOV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Counterpart Health</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1051"/>
        <w:gridCol w:w="443"/>
        <w:gridCol w:w="661"/>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300,000</w:t>
            </w:r>
            <w:r>
              <w:rPr>
                <w:rFonts w:ascii="Times;serif" w:hAnsi="Times;serif"/>
                <w:color w:val="008000"/>
                <w:position w:val="7"/>
                <w:sz w:val="16"/>
                <w:sz w:val="20"/>
                <w:shd w:fill="FFFFFF" w:val="clear"/>
              </w:rPr>
              <w:t>(1)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4.72</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1,170,056</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1,065,699</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this Form 4 was effected pursuant to a Rule 10b5-1 trading plan adopted by the Reporting Person on June 8, 2026. The price reported in Column 4 is a weighted average price. These shares were sold in multiple transactions at prices ranging from $4.60 to $5.06, inclusive. The Reporting Person undertakes to provide to the Securities and Exchange Commission staff, the issuer, or any security holder of the issuer,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held in trust for the benefit of the Reporting Person's family, of which the Reporting Person is a co-trustee.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J. Rivas as attorney-in-fact for Conrad Wai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71702" TargetMode="External"/><Relationship Id="rId5" Type="http://schemas.openxmlformats.org/officeDocument/2006/relationships/hyperlink" Target="http://www.sec.gov/cgi-bin/browse-edgar?action=getcompany&amp;CIK=0001801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700</Words>
  <Characters>3757</Characters>
  <CharactersWithSpaces>4383</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