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75051.xml.htm"/>
      <w:bookmarkStart w:id="1" w:name="kswkform4_17833750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Reynoso Jamie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CLOVER HEALTH INVESTMENTS,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NOT APPLICABLE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Medicare Advantage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71"/>
        <w:gridCol w:w="1282"/>
        <w:gridCol w:w="1000"/>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6,229</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5.26</w:t>
            </w:r>
            <w:r>
              <w:rPr/>
              <w:t xml:space="preserve"> </w:t>
            </w:r>
          </w:p>
        </w:tc>
        <w:tc>
          <w:tcPr>
            <w:tcW w:w="12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2,834,982</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of Class A Common Stock required to be sold by the Reporting Person to cover tax withholding obligations in connection with the vesting of 6.25% of restricted stock units (the "RSUs") on July 3, 2026. The RSUs were originally granted to the Reporting Person on January 3, 2023. The remaining RSUs vest quarterly in equal installments of 6.25%, with the final vesting date occurring on January 1, 2027, subject to the continued service of the Reporting Person on each such vesting date.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/s/Peter J. Rivas as attorney-in-fact for Jamie L. Reynoso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9066"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705</Words>
  <Characters>3793</Characters>
  <CharactersWithSpaces>4437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